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4E4C" w14:textId="46B825EB" w:rsidR="00441788" w:rsidRDefault="00441788" w:rsidP="00D2326B">
      <w:pPr>
        <w:pStyle w:val="Textoindependiente"/>
        <w:spacing w:before="88" w:line="276" w:lineRule="auto"/>
        <w:ind w:right="21"/>
        <w:jc w:val="center"/>
        <w:rPr>
          <w:b/>
          <w:bCs/>
          <w:color w:val="0C0C0C" w:themeColor="text1"/>
        </w:rPr>
      </w:pPr>
    </w:p>
    <w:p w14:paraId="4BD62AE1" w14:textId="13D5382E" w:rsidR="00441788" w:rsidRDefault="00441788" w:rsidP="00CD436E">
      <w:pPr>
        <w:tabs>
          <w:tab w:val="left" w:pos="2535"/>
        </w:tabs>
        <w:jc w:val="center"/>
        <w:rPr>
          <w:rFonts w:ascii="Mulish" w:eastAsia="Mulish" w:hAnsi="Mulish" w:cs="Mulish"/>
          <w:b/>
          <w:bCs/>
          <w:color w:val="0C0C0C" w:themeColor="text1"/>
          <w:lang w:eastAsia="es-ES" w:bidi="es-ES"/>
        </w:rPr>
      </w:pPr>
      <w:r>
        <w:rPr>
          <w:rFonts w:ascii="Mulish" w:eastAsia="Mulish" w:hAnsi="Mulish" w:cs="Mulish"/>
          <w:b/>
          <w:bCs/>
          <w:color w:val="0C0C0C" w:themeColor="text1"/>
          <w:lang w:eastAsia="es-ES" w:bidi="es-ES"/>
        </w:rPr>
        <w:t xml:space="preserve">EL CONSEJO PUBLICA EL RESULTADO DE </w:t>
      </w:r>
      <w:r w:rsidR="00CD3EBC">
        <w:rPr>
          <w:rFonts w:ascii="Mulish" w:eastAsia="Mulish" w:hAnsi="Mulish" w:cs="Mulish"/>
          <w:b/>
          <w:bCs/>
          <w:color w:val="0C0C0C" w:themeColor="text1"/>
          <w:lang w:eastAsia="es-ES" w:bidi="es-ES"/>
        </w:rPr>
        <w:t xml:space="preserve">SU </w:t>
      </w:r>
      <w:r>
        <w:rPr>
          <w:rFonts w:ascii="Mulish" w:eastAsia="Mulish" w:hAnsi="Mulish" w:cs="Mulish"/>
          <w:b/>
          <w:bCs/>
          <w:color w:val="0C0C0C" w:themeColor="text1"/>
          <w:lang w:eastAsia="es-ES" w:bidi="es-ES"/>
        </w:rPr>
        <w:t xml:space="preserve">EVALUACIÓN DEL CUMPLIMIENTO EN TRANSPARENCIA DE 84 ENTIDADES PRIVADAS </w:t>
      </w:r>
    </w:p>
    <w:p w14:paraId="6B5902FB" w14:textId="77777777" w:rsidR="009C1C4B" w:rsidRDefault="009C1C4B" w:rsidP="007101D5">
      <w:pPr>
        <w:tabs>
          <w:tab w:val="left" w:pos="2535"/>
        </w:tabs>
        <w:spacing w:after="120"/>
        <w:rPr>
          <w:rFonts w:ascii="Mulish" w:eastAsia="Mulish" w:hAnsi="Mulish" w:cs="Mulish"/>
          <w:b/>
          <w:bCs/>
          <w:color w:val="0C0C0C" w:themeColor="text1"/>
          <w:lang w:eastAsia="es-ES" w:bidi="es-ES"/>
        </w:rPr>
      </w:pPr>
    </w:p>
    <w:p w14:paraId="32184E3B" w14:textId="7D8C3032" w:rsidR="00285BCA" w:rsidRDefault="00285BCA" w:rsidP="00BA4068">
      <w:pPr>
        <w:pStyle w:val="Prrafodelista"/>
        <w:numPr>
          <w:ilvl w:val="0"/>
          <w:numId w:val="1"/>
        </w:numPr>
        <w:tabs>
          <w:tab w:val="left" w:pos="2535"/>
        </w:tabs>
        <w:ind w:left="714" w:hanging="357"/>
        <w:contextualSpacing w:val="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El Consejo</w:t>
      </w:r>
      <w:r w:rsidR="00597D3E">
        <w:rPr>
          <w:rFonts w:ascii="Mulish" w:eastAsia="Mulish" w:hAnsi="Mulish" w:cs="Mulish"/>
          <w:color w:val="0C0C0C" w:themeColor="text1"/>
          <w:lang w:eastAsia="es-ES" w:bidi="es-ES"/>
        </w:rPr>
        <w:t xml:space="preserve"> ha analizado </w:t>
      </w:r>
      <w:r w:rsidR="0082600E">
        <w:rPr>
          <w:rFonts w:ascii="Mulish" w:eastAsia="Mulish" w:hAnsi="Mulish" w:cs="Mulish"/>
          <w:color w:val="0C0C0C" w:themeColor="text1"/>
          <w:lang w:eastAsia="es-ES" w:bidi="es-ES"/>
        </w:rPr>
        <w:t>el grado de cumplimiento de las obligaciones de publicidad activa en</w:t>
      </w:r>
      <w:r w:rsidR="00597D3E">
        <w:rPr>
          <w:rFonts w:ascii="Mulish" w:eastAsia="Mulish" w:hAnsi="Mulish" w:cs="Mulish"/>
          <w:color w:val="0C0C0C" w:themeColor="text1"/>
          <w:lang w:eastAsia="es-ES" w:bidi="es-ES"/>
        </w:rPr>
        <w:t xml:space="preserve"> una muestra aleatoria de </w:t>
      </w:r>
      <w:r>
        <w:rPr>
          <w:rFonts w:ascii="Mulish" w:eastAsia="Mulish" w:hAnsi="Mulish" w:cs="Mulish"/>
          <w:color w:val="0C0C0C" w:themeColor="text1"/>
          <w:lang w:eastAsia="es-ES" w:bidi="es-ES"/>
        </w:rPr>
        <w:t>entidades</w:t>
      </w:r>
      <w:r w:rsidR="00597D3E">
        <w:rPr>
          <w:rFonts w:ascii="Mulish" w:eastAsia="Mulish" w:hAnsi="Mulish" w:cs="Mulish"/>
          <w:color w:val="0C0C0C" w:themeColor="text1"/>
          <w:lang w:eastAsia="es-ES" w:bidi="es-ES"/>
        </w:rPr>
        <w:t xml:space="preserve"> </w:t>
      </w:r>
      <w:r w:rsidR="0082600E">
        <w:rPr>
          <w:rFonts w:ascii="Mulish" w:eastAsia="Mulish" w:hAnsi="Mulish" w:cs="Mulish"/>
          <w:color w:val="0C0C0C" w:themeColor="text1"/>
          <w:lang w:eastAsia="es-ES" w:bidi="es-ES"/>
        </w:rPr>
        <w:t xml:space="preserve">privadas </w:t>
      </w:r>
      <w:r w:rsidR="00597D3E">
        <w:rPr>
          <w:rFonts w:ascii="Mulish" w:eastAsia="Mulish" w:hAnsi="Mulish" w:cs="Mulish"/>
          <w:color w:val="0C0C0C" w:themeColor="text1"/>
          <w:lang w:eastAsia="es-ES" w:bidi="es-ES"/>
        </w:rPr>
        <w:t xml:space="preserve">que reciben </w:t>
      </w:r>
      <w:r w:rsidR="000843E8">
        <w:rPr>
          <w:rFonts w:ascii="Mulish" w:eastAsia="Mulish" w:hAnsi="Mulish" w:cs="Mulish"/>
          <w:color w:val="0C0C0C" w:themeColor="text1"/>
          <w:lang w:eastAsia="es-ES" w:bidi="es-ES"/>
        </w:rPr>
        <w:t>subvenciones</w:t>
      </w:r>
      <w:r w:rsidR="00B965B4">
        <w:rPr>
          <w:rFonts w:ascii="Mulish" w:eastAsia="Mulish" w:hAnsi="Mulish" w:cs="Mulish"/>
          <w:color w:val="0C0C0C" w:themeColor="text1"/>
          <w:lang w:eastAsia="es-ES" w:bidi="es-ES"/>
        </w:rPr>
        <w:t xml:space="preserve">, es decir, </w:t>
      </w:r>
      <w:r w:rsidR="00D846D5">
        <w:rPr>
          <w:rFonts w:ascii="Mulish" w:eastAsia="Mulish" w:hAnsi="Mulish" w:cs="Mulish"/>
          <w:color w:val="0C0C0C" w:themeColor="text1"/>
          <w:lang w:eastAsia="es-ES" w:bidi="es-ES"/>
        </w:rPr>
        <w:t xml:space="preserve">ha evaluado </w:t>
      </w:r>
      <w:r w:rsidR="00B965B4">
        <w:rPr>
          <w:rFonts w:ascii="Mulish" w:eastAsia="Mulish" w:hAnsi="Mulish" w:cs="Mulish"/>
          <w:color w:val="0C0C0C" w:themeColor="text1"/>
          <w:lang w:eastAsia="es-ES" w:bidi="es-ES"/>
        </w:rPr>
        <w:t xml:space="preserve">si </w:t>
      </w:r>
      <w:r>
        <w:rPr>
          <w:rFonts w:ascii="Mulish" w:eastAsia="Mulish" w:hAnsi="Mulish" w:cs="Mulish"/>
          <w:color w:val="0C0C0C" w:themeColor="text1"/>
          <w:lang w:eastAsia="es-ES" w:bidi="es-ES"/>
        </w:rPr>
        <w:t>publica</w:t>
      </w:r>
      <w:r w:rsidR="00441788">
        <w:rPr>
          <w:rFonts w:ascii="Mulish" w:eastAsia="Mulish" w:hAnsi="Mulish" w:cs="Mulish"/>
          <w:color w:val="0C0C0C" w:themeColor="text1"/>
          <w:lang w:eastAsia="es-ES" w:bidi="es-ES"/>
        </w:rPr>
        <w:t>n</w:t>
      </w:r>
      <w:r w:rsidR="00CD436E">
        <w:rPr>
          <w:rFonts w:ascii="Mulish" w:eastAsia="Mulish" w:hAnsi="Mulish" w:cs="Mulish"/>
          <w:color w:val="0C0C0C" w:themeColor="text1"/>
          <w:lang w:eastAsia="es-ES" w:bidi="es-ES"/>
        </w:rPr>
        <w:t xml:space="preserve"> </w:t>
      </w:r>
      <w:r w:rsidR="00B965B4">
        <w:rPr>
          <w:rFonts w:ascii="Mulish" w:eastAsia="Mulish" w:hAnsi="Mulish" w:cs="Mulish"/>
          <w:color w:val="0C0C0C" w:themeColor="text1"/>
          <w:lang w:eastAsia="es-ES" w:bidi="es-ES"/>
        </w:rPr>
        <w:t xml:space="preserve">en sus páginas web </w:t>
      </w:r>
      <w:r>
        <w:rPr>
          <w:rFonts w:ascii="Mulish" w:eastAsia="Mulish" w:hAnsi="Mulish" w:cs="Mulish"/>
          <w:color w:val="0C0C0C" w:themeColor="text1"/>
          <w:lang w:eastAsia="es-ES" w:bidi="es-ES"/>
        </w:rPr>
        <w:t xml:space="preserve">la información </w:t>
      </w:r>
      <w:r w:rsidR="000843E8">
        <w:rPr>
          <w:rFonts w:ascii="Mulish" w:eastAsia="Mulish" w:hAnsi="Mulish" w:cs="Mulish"/>
          <w:color w:val="0C0C0C" w:themeColor="text1"/>
          <w:lang w:eastAsia="es-ES" w:bidi="es-ES"/>
        </w:rPr>
        <w:t xml:space="preserve">que </w:t>
      </w:r>
      <w:r w:rsidR="0082600E">
        <w:rPr>
          <w:rFonts w:ascii="Mulish" w:eastAsia="Mulish" w:hAnsi="Mulish" w:cs="Mulish"/>
          <w:color w:val="0C0C0C" w:themeColor="text1"/>
          <w:lang w:eastAsia="es-ES" w:bidi="es-ES"/>
        </w:rPr>
        <w:t xml:space="preserve">exige </w:t>
      </w:r>
      <w:r w:rsidR="000843E8">
        <w:rPr>
          <w:rFonts w:ascii="Mulish" w:eastAsia="Mulish" w:hAnsi="Mulish" w:cs="Mulish"/>
          <w:color w:val="0C0C0C" w:themeColor="text1"/>
          <w:lang w:eastAsia="es-ES" w:bidi="es-ES"/>
        </w:rPr>
        <w:t xml:space="preserve">la </w:t>
      </w:r>
      <w:r>
        <w:rPr>
          <w:rFonts w:ascii="Mulish" w:eastAsia="Mulish" w:hAnsi="Mulish" w:cs="Mulish"/>
          <w:color w:val="0C0C0C" w:themeColor="text1"/>
          <w:lang w:eastAsia="es-ES" w:bidi="es-ES"/>
        </w:rPr>
        <w:t xml:space="preserve">Ley de Transparencia. </w:t>
      </w:r>
    </w:p>
    <w:p w14:paraId="222476EF" w14:textId="65E91B25" w:rsidR="00CD436E" w:rsidRPr="00651D35" w:rsidRDefault="00AA0900" w:rsidP="00FC7309">
      <w:pPr>
        <w:pStyle w:val="Prrafodelista"/>
        <w:numPr>
          <w:ilvl w:val="0"/>
          <w:numId w:val="1"/>
        </w:numPr>
        <w:tabs>
          <w:tab w:val="left" w:pos="2535"/>
        </w:tabs>
        <w:ind w:left="714" w:hanging="357"/>
        <w:contextualSpacing w:val="0"/>
        <w:jc w:val="both"/>
        <w:rPr>
          <w:rFonts w:ascii="Mulish" w:eastAsia="Mulish" w:hAnsi="Mulish" w:cs="Mulish"/>
          <w:color w:val="0C0C0C" w:themeColor="text1"/>
          <w:lang w:eastAsia="es-ES" w:bidi="es-ES"/>
        </w:rPr>
      </w:pPr>
      <w:r w:rsidRPr="00651D35">
        <w:rPr>
          <w:rFonts w:ascii="Mulish" w:eastAsia="Mulish" w:hAnsi="Mulish" w:cs="Mulish"/>
          <w:color w:val="0C0C0C" w:themeColor="text1"/>
          <w:lang w:eastAsia="es-ES" w:bidi="es-ES"/>
        </w:rPr>
        <w:t xml:space="preserve">Aunque </w:t>
      </w:r>
      <w:r w:rsidR="00872485">
        <w:rPr>
          <w:rFonts w:ascii="Mulish" w:eastAsia="Mulish" w:hAnsi="Mulish" w:cs="Mulish"/>
          <w:color w:val="0C0C0C" w:themeColor="text1"/>
          <w:lang w:eastAsia="es-ES" w:bidi="es-ES"/>
        </w:rPr>
        <w:t>hay</w:t>
      </w:r>
      <w:r w:rsidRPr="00651D35">
        <w:rPr>
          <w:rFonts w:ascii="Mulish" w:eastAsia="Mulish" w:hAnsi="Mulish" w:cs="Mulish"/>
          <w:color w:val="0C0C0C" w:themeColor="text1"/>
          <w:lang w:eastAsia="es-ES" w:bidi="es-ES"/>
        </w:rPr>
        <w:t xml:space="preserve"> notables diferencias</w:t>
      </w:r>
      <w:r w:rsidR="003B6659">
        <w:rPr>
          <w:rFonts w:ascii="Mulish" w:eastAsia="Mulish" w:hAnsi="Mulish" w:cs="Mulish"/>
          <w:color w:val="0C0C0C" w:themeColor="text1"/>
          <w:lang w:eastAsia="es-ES" w:bidi="es-ES"/>
        </w:rPr>
        <w:t xml:space="preserve"> según la entidad</w:t>
      </w:r>
      <w:r w:rsidRPr="00651D35">
        <w:rPr>
          <w:rFonts w:ascii="Mulish" w:eastAsia="Mulish" w:hAnsi="Mulish" w:cs="Mulish"/>
          <w:color w:val="0C0C0C" w:themeColor="text1"/>
          <w:lang w:eastAsia="es-ES" w:bidi="es-ES"/>
        </w:rPr>
        <w:t xml:space="preserve">, el </w:t>
      </w:r>
      <w:r w:rsidR="000843E8">
        <w:rPr>
          <w:rFonts w:ascii="Mulish" w:eastAsia="Mulish" w:hAnsi="Mulish" w:cs="Mulish"/>
          <w:color w:val="0C0C0C" w:themeColor="text1"/>
          <w:lang w:eastAsia="es-ES" w:bidi="es-ES"/>
        </w:rPr>
        <w:t xml:space="preserve">índice medio de </w:t>
      </w:r>
      <w:r w:rsidR="000843E8" w:rsidRPr="00441788">
        <w:rPr>
          <w:rFonts w:ascii="Mulish" w:eastAsia="Mulish" w:hAnsi="Mulish" w:cs="Mulish"/>
          <w:color w:val="0C0C0C" w:themeColor="text1"/>
          <w:lang w:eastAsia="es-ES" w:bidi="es-ES"/>
        </w:rPr>
        <w:t>cumplimiento</w:t>
      </w:r>
      <w:r w:rsidRPr="00441788">
        <w:rPr>
          <w:rFonts w:ascii="Mulish" w:eastAsia="Mulish" w:hAnsi="Mulish" w:cs="Mulish"/>
          <w:color w:val="0C0C0C" w:themeColor="text1"/>
          <w:lang w:eastAsia="es-ES" w:bidi="es-ES"/>
        </w:rPr>
        <w:t xml:space="preserve"> </w:t>
      </w:r>
      <w:r w:rsidR="00872485">
        <w:rPr>
          <w:rFonts w:ascii="Mulish" w:eastAsia="Mulish" w:hAnsi="Mulish" w:cs="Mulish"/>
          <w:color w:val="0C0C0C" w:themeColor="text1"/>
          <w:lang w:eastAsia="es-ES" w:bidi="es-ES"/>
        </w:rPr>
        <w:t xml:space="preserve">del conjunto de entidades analizadas </w:t>
      </w:r>
      <w:r w:rsidR="00FC7309" w:rsidRPr="00441788">
        <w:rPr>
          <w:rFonts w:ascii="Mulish" w:eastAsia="Mulish" w:hAnsi="Mulish" w:cs="Mulish"/>
          <w:color w:val="0C0C0C" w:themeColor="text1"/>
          <w:lang w:eastAsia="es-ES" w:bidi="es-ES"/>
        </w:rPr>
        <w:t>es d</w:t>
      </w:r>
      <w:r w:rsidRPr="00441788">
        <w:rPr>
          <w:rFonts w:ascii="Mulish" w:eastAsia="Mulish" w:hAnsi="Mulish" w:cs="Mulish"/>
          <w:color w:val="0C0C0C" w:themeColor="text1"/>
          <w:lang w:eastAsia="es-ES" w:bidi="es-ES"/>
        </w:rPr>
        <w:t>e</w:t>
      </w:r>
      <w:r w:rsidR="008925B6">
        <w:rPr>
          <w:rFonts w:ascii="Mulish" w:eastAsia="Mulish" w:hAnsi="Mulish" w:cs="Mulish"/>
          <w:color w:val="0C0C0C" w:themeColor="text1"/>
          <w:lang w:eastAsia="es-ES" w:bidi="es-ES"/>
        </w:rPr>
        <w:t xml:space="preserve"> solo e</w:t>
      </w:r>
      <w:r w:rsidRPr="00441788">
        <w:rPr>
          <w:rFonts w:ascii="Mulish" w:eastAsia="Mulish" w:hAnsi="Mulish" w:cs="Mulish"/>
          <w:color w:val="0C0C0C" w:themeColor="text1"/>
          <w:lang w:eastAsia="es-ES" w:bidi="es-ES"/>
        </w:rPr>
        <w:t xml:space="preserve">l </w:t>
      </w:r>
      <w:r w:rsidR="00597D3E" w:rsidRPr="00441788">
        <w:rPr>
          <w:rFonts w:ascii="Mulish" w:eastAsia="Mulish" w:hAnsi="Mulish" w:cs="Mulish"/>
          <w:color w:val="0C0C0C" w:themeColor="text1"/>
          <w:lang w:eastAsia="es-ES" w:bidi="es-ES"/>
        </w:rPr>
        <w:t>3</w:t>
      </w:r>
      <w:r w:rsidR="000843E8" w:rsidRPr="00441788">
        <w:rPr>
          <w:rFonts w:ascii="Mulish" w:eastAsia="Mulish" w:hAnsi="Mulish" w:cs="Mulish"/>
          <w:color w:val="0C0C0C" w:themeColor="text1"/>
          <w:lang w:eastAsia="es-ES" w:bidi="es-ES"/>
        </w:rPr>
        <w:t>4</w:t>
      </w:r>
      <w:r w:rsidRPr="00441788">
        <w:rPr>
          <w:rFonts w:ascii="Mulish" w:eastAsia="Mulish" w:hAnsi="Mulish" w:cs="Mulish"/>
          <w:color w:val="0C0C0C" w:themeColor="text1"/>
          <w:lang w:eastAsia="es-ES" w:bidi="es-ES"/>
        </w:rPr>
        <w:t>,</w:t>
      </w:r>
      <w:r w:rsidR="000843E8" w:rsidRPr="00441788">
        <w:rPr>
          <w:rFonts w:ascii="Mulish" w:eastAsia="Mulish" w:hAnsi="Mulish" w:cs="Mulish"/>
          <w:color w:val="0C0C0C" w:themeColor="text1"/>
          <w:lang w:eastAsia="es-ES" w:bidi="es-ES"/>
        </w:rPr>
        <w:t>4</w:t>
      </w:r>
      <w:r w:rsidRPr="00441788">
        <w:rPr>
          <w:rFonts w:ascii="Mulish" w:eastAsia="Mulish" w:hAnsi="Mulish" w:cs="Mulish"/>
          <w:color w:val="0C0C0C" w:themeColor="text1"/>
          <w:lang w:eastAsia="es-ES" w:bidi="es-ES"/>
        </w:rPr>
        <w:t>%</w:t>
      </w:r>
      <w:r w:rsidR="005549D2">
        <w:rPr>
          <w:rFonts w:ascii="Mulish" w:eastAsia="Mulish" w:hAnsi="Mulish" w:cs="Mulish"/>
          <w:color w:val="0C0C0C" w:themeColor="text1"/>
          <w:lang w:eastAsia="es-ES" w:bidi="es-ES"/>
        </w:rPr>
        <w:t xml:space="preserve"> y </w:t>
      </w:r>
      <w:r w:rsidR="00872485">
        <w:rPr>
          <w:rFonts w:ascii="Mulish" w:eastAsia="Mulish" w:hAnsi="Mulish" w:cs="Mulish"/>
          <w:color w:val="0C0C0C" w:themeColor="text1"/>
          <w:lang w:eastAsia="es-ES" w:bidi="es-ES"/>
        </w:rPr>
        <w:t xml:space="preserve">en promedio publican </w:t>
      </w:r>
      <w:r w:rsidR="008925B6">
        <w:rPr>
          <w:rFonts w:ascii="Mulish" w:eastAsia="Mulish" w:hAnsi="Mulish" w:cs="Mulish"/>
          <w:color w:val="0C0C0C" w:themeColor="text1"/>
          <w:lang w:eastAsia="es-ES" w:bidi="es-ES"/>
        </w:rPr>
        <w:t xml:space="preserve">únicamente </w:t>
      </w:r>
      <w:r w:rsidR="00DA2CF7" w:rsidRPr="00441788">
        <w:rPr>
          <w:rFonts w:ascii="Mulish" w:eastAsia="Mulish" w:hAnsi="Mulish" w:cs="Mulish"/>
          <w:color w:val="0C0C0C" w:themeColor="text1"/>
          <w:lang w:eastAsia="es-ES" w:bidi="es-ES"/>
        </w:rPr>
        <w:t xml:space="preserve">4 de cada 10 </w:t>
      </w:r>
      <w:r w:rsidR="00CD436E" w:rsidRPr="00441788">
        <w:rPr>
          <w:rFonts w:ascii="Mulish" w:eastAsia="Mulish" w:hAnsi="Mulish" w:cs="Mulish"/>
          <w:color w:val="0C0C0C" w:themeColor="text1"/>
          <w:lang w:eastAsia="es-ES" w:bidi="es-ES"/>
        </w:rPr>
        <w:t>informaciones obligatorias</w:t>
      </w:r>
      <w:r w:rsidR="00441788">
        <w:rPr>
          <w:rFonts w:ascii="Mulish" w:eastAsia="Mulish" w:hAnsi="Mulish" w:cs="Mulish"/>
          <w:color w:val="0C0C0C" w:themeColor="text1"/>
          <w:lang w:eastAsia="es-ES" w:bidi="es-ES"/>
        </w:rPr>
        <w:t>.</w:t>
      </w:r>
    </w:p>
    <w:p w14:paraId="58B62A22" w14:textId="09AC3FE5" w:rsidR="00B965B4" w:rsidRDefault="000843E8" w:rsidP="000843E8">
      <w:pPr>
        <w:pStyle w:val="Prrafodelista"/>
        <w:numPr>
          <w:ilvl w:val="0"/>
          <w:numId w:val="1"/>
        </w:numPr>
        <w:tabs>
          <w:tab w:val="left" w:pos="2535"/>
        </w:tabs>
        <w:contextualSpacing w:val="0"/>
        <w:jc w:val="both"/>
        <w:rPr>
          <w:rFonts w:ascii="Mulish" w:eastAsia="Mulish" w:hAnsi="Mulish" w:cs="Mulish"/>
          <w:color w:val="0C0C0C" w:themeColor="text1"/>
          <w:lang w:eastAsia="es-ES" w:bidi="es-ES"/>
        </w:rPr>
      </w:pPr>
      <w:r w:rsidRPr="000843E8">
        <w:rPr>
          <w:rFonts w:ascii="Mulish" w:eastAsia="Mulish" w:hAnsi="Mulish" w:cs="Mulish"/>
          <w:color w:val="0C0C0C" w:themeColor="text1"/>
          <w:lang w:eastAsia="es-ES" w:bidi="es-ES"/>
        </w:rPr>
        <w:t>La Coordinadora de ONG para el desarrollo y Médicos del Mundo</w:t>
      </w:r>
      <w:r w:rsidR="00651D35" w:rsidRPr="000843E8">
        <w:rPr>
          <w:rFonts w:ascii="Mulish" w:eastAsia="Mulish" w:hAnsi="Mulish" w:cs="Mulish"/>
          <w:color w:val="0C0C0C" w:themeColor="text1"/>
          <w:lang w:eastAsia="es-ES" w:bidi="es-ES"/>
        </w:rPr>
        <w:t xml:space="preserve">, que aplicaron todas las recomendaciones efectuadas por el Consejo </w:t>
      </w:r>
      <w:r w:rsidR="00441788">
        <w:rPr>
          <w:rFonts w:ascii="Mulish" w:eastAsia="Mulish" w:hAnsi="Mulish" w:cs="Mulish"/>
          <w:color w:val="0C0C0C" w:themeColor="text1"/>
          <w:lang w:eastAsia="es-ES" w:bidi="es-ES"/>
        </w:rPr>
        <w:t xml:space="preserve">en </w:t>
      </w:r>
      <w:r>
        <w:rPr>
          <w:rFonts w:ascii="Mulish" w:eastAsia="Mulish" w:hAnsi="Mulish" w:cs="Mulish"/>
          <w:color w:val="0C0C0C" w:themeColor="text1"/>
          <w:lang w:eastAsia="es-ES" w:bidi="es-ES"/>
        </w:rPr>
        <w:t>su anterior evaluación</w:t>
      </w:r>
      <w:r w:rsidR="00651D35" w:rsidRPr="000843E8">
        <w:rPr>
          <w:rFonts w:ascii="Mulish" w:eastAsia="Mulish" w:hAnsi="Mulish" w:cs="Mulish"/>
          <w:color w:val="0C0C0C" w:themeColor="text1"/>
          <w:lang w:eastAsia="es-ES" w:bidi="es-ES"/>
        </w:rPr>
        <w:t xml:space="preserve">, </w:t>
      </w:r>
      <w:r w:rsidR="00B965B4" w:rsidRPr="000843E8">
        <w:rPr>
          <w:rFonts w:ascii="Mulish" w:eastAsia="Mulish" w:hAnsi="Mulish" w:cs="Mulish"/>
          <w:color w:val="0C0C0C" w:themeColor="text1"/>
          <w:lang w:eastAsia="es-ES" w:bidi="es-ES"/>
        </w:rPr>
        <w:t xml:space="preserve">alcanzan </w:t>
      </w:r>
      <w:r w:rsidR="00441788">
        <w:rPr>
          <w:rFonts w:ascii="Mulish" w:eastAsia="Mulish" w:hAnsi="Mulish" w:cs="Mulish"/>
          <w:color w:val="0C0C0C" w:themeColor="text1"/>
          <w:lang w:eastAsia="es-ES" w:bidi="es-ES"/>
        </w:rPr>
        <w:t>en esta</w:t>
      </w:r>
      <w:r w:rsidR="00651D35" w:rsidRPr="000843E8">
        <w:rPr>
          <w:rFonts w:ascii="Mulish" w:eastAsia="Mulish" w:hAnsi="Mulish" w:cs="Mulish"/>
          <w:color w:val="0C0C0C" w:themeColor="text1"/>
          <w:lang w:eastAsia="es-ES" w:bidi="es-ES"/>
        </w:rPr>
        <w:t xml:space="preserve"> </w:t>
      </w:r>
      <w:r w:rsidR="00B965B4" w:rsidRPr="000843E8">
        <w:rPr>
          <w:rFonts w:ascii="Mulish" w:eastAsia="Mulish" w:hAnsi="Mulish" w:cs="Mulish"/>
          <w:color w:val="0C0C0C" w:themeColor="text1"/>
          <w:lang w:eastAsia="es-ES" w:bidi="es-ES"/>
        </w:rPr>
        <w:t xml:space="preserve">un 100% de cumplimiento. </w:t>
      </w:r>
    </w:p>
    <w:p w14:paraId="301BDE87" w14:textId="2532AC0D" w:rsidR="00CD7D42" w:rsidRPr="000843E8" w:rsidRDefault="00CD7D42" w:rsidP="000843E8">
      <w:pPr>
        <w:pStyle w:val="Prrafodelista"/>
        <w:numPr>
          <w:ilvl w:val="0"/>
          <w:numId w:val="1"/>
        </w:numPr>
        <w:tabs>
          <w:tab w:val="left" w:pos="2535"/>
        </w:tabs>
        <w:contextualSpacing w:val="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 xml:space="preserve">En 2025, el Consejo ha evaluado </w:t>
      </w:r>
      <w:r w:rsidR="004478AA">
        <w:rPr>
          <w:rFonts w:ascii="Mulish" w:eastAsia="Mulish" w:hAnsi="Mulish" w:cs="Mulish"/>
          <w:color w:val="0C0C0C" w:themeColor="text1"/>
          <w:lang w:eastAsia="es-ES" w:bidi="es-ES"/>
        </w:rPr>
        <w:t xml:space="preserve">a </w:t>
      </w:r>
      <w:r w:rsidR="00F713CA">
        <w:rPr>
          <w:rFonts w:ascii="Mulish" w:eastAsia="Mulish" w:hAnsi="Mulish" w:cs="Mulish"/>
          <w:color w:val="0C0C0C" w:themeColor="text1"/>
          <w:lang w:eastAsia="es-ES" w:bidi="es-ES"/>
        </w:rPr>
        <w:t xml:space="preserve">392 </w:t>
      </w:r>
      <w:r>
        <w:rPr>
          <w:rFonts w:ascii="Mulish" w:eastAsia="Mulish" w:hAnsi="Mulish" w:cs="Mulish"/>
          <w:color w:val="0C0C0C" w:themeColor="text1"/>
          <w:lang w:eastAsia="es-ES" w:bidi="es-ES"/>
        </w:rPr>
        <w:t>entidades del sector público institucional estatal, corporaciones de derecho público y entidades privadas perceptoras de subvenciones</w:t>
      </w:r>
      <w:r w:rsidR="00164398">
        <w:rPr>
          <w:rFonts w:ascii="Mulish" w:eastAsia="Mulish" w:hAnsi="Mulish" w:cs="Mulish"/>
          <w:color w:val="0C0C0C" w:themeColor="text1"/>
          <w:lang w:eastAsia="es-ES" w:bidi="es-ES"/>
        </w:rPr>
        <w:t xml:space="preserve">, récord en el número de evaluaciones realizadas por la institución en un ejercicio. </w:t>
      </w:r>
    </w:p>
    <w:p w14:paraId="5408A039" w14:textId="77777777" w:rsidR="00C27BA6" w:rsidRPr="00C27BA6" w:rsidRDefault="00C27BA6" w:rsidP="00C27BA6">
      <w:pPr>
        <w:pStyle w:val="Prrafodelista"/>
        <w:tabs>
          <w:tab w:val="left" w:pos="2535"/>
        </w:tabs>
        <w:ind w:left="714"/>
        <w:contextualSpacing w:val="0"/>
        <w:jc w:val="both"/>
        <w:rPr>
          <w:rFonts w:ascii="Mulish" w:eastAsia="Mulish" w:hAnsi="Mulish" w:cs="Mulish"/>
          <w:color w:val="0C0C0C" w:themeColor="text1"/>
          <w:lang w:eastAsia="es-ES" w:bidi="es-ES"/>
        </w:rPr>
      </w:pPr>
    </w:p>
    <w:p w14:paraId="2AA3C7CA" w14:textId="447DB1EB" w:rsidR="00A251FA" w:rsidRPr="00A251FA" w:rsidRDefault="00BA4068" w:rsidP="00A251FA">
      <w:pPr>
        <w:spacing w:after="0"/>
        <w:jc w:val="both"/>
        <w:rPr>
          <w:rFonts w:ascii="Mulish" w:eastAsia="Mulish" w:hAnsi="Mulish" w:cs="Mulish"/>
          <w:color w:val="0C0C0C" w:themeColor="text1"/>
          <w:lang w:eastAsia="es-ES" w:bidi="es-ES"/>
        </w:rPr>
      </w:pPr>
      <w:r w:rsidRPr="00B80115">
        <w:rPr>
          <w:rFonts w:ascii="Mulish" w:eastAsia="Mulish" w:hAnsi="Mulish" w:cs="Mulish"/>
          <w:color w:val="0C0C0C" w:themeColor="text1"/>
          <w:u w:val="single"/>
          <w:lang w:eastAsia="es-ES" w:bidi="es-ES"/>
        </w:rPr>
        <w:t>Madrid</w:t>
      </w:r>
      <w:r w:rsidR="00C23867">
        <w:rPr>
          <w:rFonts w:ascii="Mulish" w:eastAsia="Mulish" w:hAnsi="Mulish" w:cs="Mulish"/>
          <w:color w:val="0C0C0C" w:themeColor="text1"/>
          <w:u w:val="single"/>
          <w:lang w:eastAsia="es-ES" w:bidi="es-ES"/>
        </w:rPr>
        <w:t>,</w:t>
      </w:r>
      <w:r w:rsidR="002774B2">
        <w:rPr>
          <w:rFonts w:ascii="Mulish" w:eastAsia="Mulish" w:hAnsi="Mulish" w:cs="Mulish"/>
          <w:color w:val="0C0C0C" w:themeColor="text1"/>
          <w:u w:val="single"/>
          <w:lang w:eastAsia="es-ES" w:bidi="es-ES"/>
        </w:rPr>
        <w:t xml:space="preserve"> 21 de enero </w:t>
      </w:r>
      <w:r w:rsidRPr="00B80115">
        <w:rPr>
          <w:rFonts w:ascii="Mulish" w:eastAsia="Mulish" w:hAnsi="Mulish" w:cs="Mulish"/>
          <w:color w:val="0C0C0C" w:themeColor="text1"/>
          <w:u w:val="single"/>
          <w:lang w:eastAsia="es-ES" w:bidi="es-ES"/>
        </w:rPr>
        <w:t xml:space="preserve">de </w:t>
      </w:r>
      <w:r w:rsidR="009B2D68" w:rsidRPr="00B80115">
        <w:rPr>
          <w:rFonts w:ascii="Mulish" w:eastAsia="Mulish" w:hAnsi="Mulish" w:cs="Mulish"/>
          <w:color w:val="0C0C0C" w:themeColor="text1"/>
          <w:u w:val="single"/>
          <w:lang w:eastAsia="es-ES" w:bidi="es-ES"/>
        </w:rPr>
        <w:t>202</w:t>
      </w:r>
      <w:r w:rsidR="009B2D68">
        <w:rPr>
          <w:rFonts w:ascii="Mulish" w:eastAsia="Mulish" w:hAnsi="Mulish" w:cs="Mulish"/>
          <w:color w:val="0C0C0C" w:themeColor="text1"/>
          <w:u w:val="single"/>
          <w:lang w:eastAsia="es-ES" w:bidi="es-ES"/>
        </w:rPr>
        <w:t>6</w:t>
      </w:r>
      <w:r w:rsidRPr="00B80115">
        <w:rPr>
          <w:rFonts w:ascii="Mulish" w:eastAsia="Mulish" w:hAnsi="Mulish" w:cs="Mulish"/>
          <w:color w:val="0C0C0C" w:themeColor="text1"/>
          <w:lang w:eastAsia="es-ES" w:bidi="es-ES"/>
        </w:rPr>
        <w:t xml:space="preserve">.- </w:t>
      </w:r>
      <w:r w:rsidR="00A251FA" w:rsidRPr="00A251FA">
        <w:rPr>
          <w:rFonts w:ascii="Mulish" w:eastAsia="Mulish" w:hAnsi="Mulish" w:cs="Mulish"/>
          <w:color w:val="0C0C0C" w:themeColor="text1"/>
          <w:lang w:eastAsia="es-ES" w:bidi="es-ES"/>
        </w:rPr>
        <w:t xml:space="preserve">El Consejo de Transparencia y Buen Gobierno acaba de publicar </w:t>
      </w:r>
      <w:r w:rsidR="00492843">
        <w:rPr>
          <w:rFonts w:ascii="Mulish" w:eastAsia="Mulish" w:hAnsi="Mulish" w:cs="Mulish"/>
          <w:color w:val="0C0C0C" w:themeColor="text1"/>
          <w:lang w:eastAsia="es-ES" w:bidi="es-ES"/>
        </w:rPr>
        <w:t>los</w:t>
      </w:r>
      <w:r w:rsidR="00A251FA" w:rsidRPr="00A251FA">
        <w:rPr>
          <w:rFonts w:ascii="Mulish" w:eastAsia="Mulish" w:hAnsi="Mulish" w:cs="Mulish"/>
          <w:color w:val="0C0C0C" w:themeColor="text1"/>
          <w:lang w:eastAsia="es-ES" w:bidi="es-ES"/>
        </w:rPr>
        <w:t xml:space="preserve"> informe</w:t>
      </w:r>
      <w:r w:rsidR="00492843">
        <w:rPr>
          <w:rFonts w:ascii="Mulish" w:eastAsia="Mulish" w:hAnsi="Mulish" w:cs="Mulish"/>
          <w:color w:val="0C0C0C" w:themeColor="text1"/>
          <w:lang w:eastAsia="es-ES" w:bidi="es-ES"/>
        </w:rPr>
        <w:t>s</w:t>
      </w:r>
      <w:r w:rsidR="00A251FA" w:rsidRPr="00A251FA">
        <w:rPr>
          <w:rFonts w:ascii="Mulish" w:eastAsia="Mulish" w:hAnsi="Mulish" w:cs="Mulish"/>
          <w:color w:val="0C0C0C" w:themeColor="text1"/>
          <w:lang w:eastAsia="es-ES" w:bidi="es-ES"/>
        </w:rPr>
        <w:t xml:space="preserve"> con los resultados de la evaluación del cumplimiento de las obligaciones de publicidad activa de </w:t>
      </w:r>
      <w:r w:rsidR="000843E8">
        <w:rPr>
          <w:rFonts w:ascii="Mulish" w:eastAsia="Mulish" w:hAnsi="Mulish" w:cs="Mulish"/>
          <w:b/>
          <w:bCs/>
          <w:color w:val="0C0C0C" w:themeColor="text1"/>
          <w:lang w:eastAsia="es-ES" w:bidi="es-ES"/>
        </w:rPr>
        <w:t>84</w:t>
      </w:r>
      <w:r w:rsidR="00A251FA" w:rsidRPr="00A251FA">
        <w:rPr>
          <w:rFonts w:ascii="Mulish" w:eastAsia="Mulish" w:hAnsi="Mulish" w:cs="Mulish"/>
          <w:b/>
          <w:bCs/>
          <w:color w:val="0C0C0C" w:themeColor="text1"/>
          <w:lang w:eastAsia="es-ES" w:bidi="es-ES"/>
        </w:rPr>
        <w:t xml:space="preserve"> entidades </w:t>
      </w:r>
      <w:r w:rsidR="0082600E">
        <w:rPr>
          <w:rFonts w:ascii="Mulish" w:eastAsia="Mulish" w:hAnsi="Mulish" w:cs="Mulish"/>
          <w:b/>
          <w:bCs/>
          <w:color w:val="0C0C0C" w:themeColor="text1"/>
          <w:lang w:eastAsia="es-ES" w:bidi="es-ES"/>
        </w:rPr>
        <w:t xml:space="preserve">privadas </w:t>
      </w:r>
      <w:r w:rsidR="00A251FA" w:rsidRPr="00A251FA">
        <w:rPr>
          <w:rFonts w:ascii="Mulish" w:eastAsia="Mulish" w:hAnsi="Mulish" w:cs="Mulish"/>
          <w:b/>
          <w:bCs/>
          <w:color w:val="0C0C0C" w:themeColor="text1"/>
          <w:lang w:eastAsia="es-ES" w:bidi="es-ES"/>
        </w:rPr>
        <w:t>perceptoras de subvenciones y ayudas públicas</w:t>
      </w:r>
      <w:r w:rsidR="00A251FA" w:rsidRPr="00A251FA">
        <w:rPr>
          <w:rFonts w:ascii="Mulish" w:eastAsia="Mulish" w:hAnsi="Mulish" w:cs="Mulish"/>
          <w:color w:val="0C0C0C" w:themeColor="text1"/>
          <w:lang w:eastAsia="es-ES" w:bidi="es-ES"/>
        </w:rPr>
        <w:t xml:space="preserve">. </w:t>
      </w:r>
      <w:r w:rsidR="00B965B4">
        <w:rPr>
          <w:rFonts w:ascii="Mulish" w:eastAsia="Mulish" w:hAnsi="Mulish" w:cs="Mulish"/>
          <w:color w:val="0C0C0C" w:themeColor="text1"/>
          <w:lang w:eastAsia="es-ES" w:bidi="es-ES"/>
        </w:rPr>
        <w:t xml:space="preserve">El Consejo </w:t>
      </w:r>
      <w:r w:rsidR="00A251FA" w:rsidRPr="00A251FA">
        <w:rPr>
          <w:rFonts w:ascii="Mulish" w:eastAsia="Mulish" w:hAnsi="Mulish" w:cs="Mulish"/>
          <w:color w:val="0C0C0C" w:themeColor="text1"/>
          <w:lang w:eastAsia="es-ES" w:bidi="es-ES"/>
        </w:rPr>
        <w:t xml:space="preserve">ha analizado si </w:t>
      </w:r>
      <w:r w:rsidR="00DA2CF7">
        <w:rPr>
          <w:rFonts w:ascii="Mulish" w:eastAsia="Mulish" w:hAnsi="Mulish" w:cs="Mulish"/>
          <w:color w:val="0C0C0C" w:themeColor="text1"/>
          <w:lang w:eastAsia="es-ES" w:bidi="es-ES"/>
        </w:rPr>
        <w:t>est</w:t>
      </w:r>
      <w:r w:rsidR="0082600E">
        <w:rPr>
          <w:rFonts w:ascii="Mulish" w:eastAsia="Mulish" w:hAnsi="Mulish" w:cs="Mulish"/>
          <w:color w:val="0C0C0C" w:themeColor="text1"/>
          <w:lang w:eastAsia="es-ES" w:bidi="es-ES"/>
        </w:rPr>
        <w:t>e</w:t>
      </w:r>
      <w:r w:rsidR="00A251FA" w:rsidRPr="00A251FA">
        <w:rPr>
          <w:rFonts w:ascii="Mulish" w:eastAsia="Mulish" w:hAnsi="Mulish" w:cs="Mulish"/>
          <w:color w:val="0C0C0C" w:themeColor="text1"/>
          <w:lang w:eastAsia="es-ES" w:bidi="es-ES"/>
        </w:rPr>
        <w:t xml:space="preserve"> </w:t>
      </w:r>
      <w:r w:rsidR="0082600E">
        <w:rPr>
          <w:rFonts w:ascii="Mulish" w:eastAsia="Mulish" w:hAnsi="Mulish" w:cs="Mulish"/>
          <w:color w:val="0C0C0C" w:themeColor="text1"/>
          <w:lang w:eastAsia="es-ES" w:bidi="es-ES"/>
        </w:rPr>
        <w:t>conjunto</w:t>
      </w:r>
      <w:r w:rsidR="0082600E" w:rsidRPr="00A251FA">
        <w:rPr>
          <w:rFonts w:ascii="Mulish" w:eastAsia="Mulish" w:hAnsi="Mulish" w:cs="Mulish"/>
          <w:color w:val="0C0C0C" w:themeColor="text1"/>
          <w:lang w:eastAsia="es-ES" w:bidi="es-ES"/>
        </w:rPr>
        <w:t xml:space="preserve"> </w:t>
      </w:r>
      <w:r w:rsidR="00A251FA" w:rsidRPr="00A251FA">
        <w:rPr>
          <w:rFonts w:ascii="Mulish" w:eastAsia="Mulish" w:hAnsi="Mulish" w:cs="Mulish"/>
          <w:color w:val="0C0C0C" w:themeColor="text1"/>
          <w:lang w:eastAsia="es-ES" w:bidi="es-ES"/>
        </w:rPr>
        <w:t>de</w:t>
      </w:r>
      <w:r w:rsidR="00B965B4">
        <w:rPr>
          <w:rFonts w:ascii="Mulish" w:eastAsia="Mulish" w:hAnsi="Mulish" w:cs="Mulish"/>
          <w:color w:val="0C0C0C" w:themeColor="text1"/>
          <w:lang w:eastAsia="es-ES" w:bidi="es-ES"/>
        </w:rPr>
        <w:t xml:space="preserve"> entidades </w:t>
      </w:r>
      <w:r w:rsidR="0082600E">
        <w:rPr>
          <w:rFonts w:ascii="Mulish" w:eastAsia="Mulish" w:hAnsi="Mulish" w:cs="Mulish"/>
          <w:color w:val="0C0C0C" w:themeColor="text1"/>
          <w:lang w:eastAsia="es-ES" w:bidi="es-ES"/>
        </w:rPr>
        <w:t xml:space="preserve">pertenecientes a </w:t>
      </w:r>
      <w:r w:rsidR="00A251FA" w:rsidRPr="00A251FA">
        <w:rPr>
          <w:rFonts w:ascii="Mulish" w:eastAsia="Mulish" w:hAnsi="Mulish" w:cs="Mulish"/>
          <w:color w:val="0C0C0C" w:themeColor="text1"/>
          <w:lang w:eastAsia="es-ES" w:bidi="es-ES"/>
        </w:rPr>
        <w:t xml:space="preserve">uno de los grupos de sujetos obligados por la </w:t>
      </w:r>
      <w:r w:rsidR="00B965B4">
        <w:rPr>
          <w:rFonts w:ascii="Mulish" w:eastAsia="Mulish" w:hAnsi="Mulish" w:cs="Mulish"/>
          <w:color w:val="0C0C0C" w:themeColor="text1"/>
          <w:lang w:eastAsia="es-ES" w:bidi="es-ES"/>
        </w:rPr>
        <w:t>L</w:t>
      </w:r>
      <w:r w:rsidR="00A251FA" w:rsidRPr="00A251FA">
        <w:rPr>
          <w:rFonts w:ascii="Mulish" w:eastAsia="Mulish" w:hAnsi="Mulish" w:cs="Mulish"/>
          <w:color w:val="0C0C0C" w:themeColor="text1"/>
          <w:lang w:eastAsia="es-ES" w:bidi="es-ES"/>
        </w:rPr>
        <w:t xml:space="preserve">ey </w:t>
      </w:r>
      <w:r w:rsidR="00441788">
        <w:rPr>
          <w:rFonts w:ascii="Mulish" w:eastAsia="Mulish" w:hAnsi="Mulish" w:cs="Mulish"/>
          <w:color w:val="0C0C0C" w:themeColor="text1"/>
          <w:lang w:eastAsia="es-ES" w:bidi="es-ES"/>
        </w:rPr>
        <w:t>de Transparencia</w:t>
      </w:r>
      <w:r w:rsidR="00B965B4">
        <w:rPr>
          <w:rFonts w:ascii="Mulish" w:eastAsia="Mulish" w:hAnsi="Mulish" w:cs="Mulish"/>
          <w:color w:val="0C0C0C" w:themeColor="text1"/>
          <w:lang w:eastAsia="es-ES" w:bidi="es-ES"/>
        </w:rPr>
        <w:t xml:space="preserve"> </w:t>
      </w:r>
      <w:r w:rsidR="00CD436E" w:rsidRPr="00561A62">
        <w:rPr>
          <w:rFonts w:ascii="Mulish" w:hAnsi="Mulish"/>
        </w:rPr>
        <w:t>–</w:t>
      </w:r>
      <w:r w:rsidR="00A251FA" w:rsidRPr="00A251FA">
        <w:rPr>
          <w:rFonts w:ascii="Mulish" w:eastAsia="Mulish" w:hAnsi="Mulish" w:cs="Mulish"/>
          <w:color w:val="0C0C0C" w:themeColor="text1"/>
          <w:lang w:eastAsia="es-ES" w:bidi="es-ES"/>
        </w:rPr>
        <w:t xml:space="preserve">las entidades </w:t>
      </w:r>
      <w:r w:rsidR="00CD436E">
        <w:rPr>
          <w:rFonts w:ascii="Mulish" w:eastAsia="Mulish" w:hAnsi="Mulish" w:cs="Mulish"/>
          <w:color w:val="0C0C0C" w:themeColor="text1"/>
          <w:lang w:eastAsia="es-ES" w:bidi="es-ES"/>
        </w:rPr>
        <w:t xml:space="preserve">privadas </w:t>
      </w:r>
      <w:r w:rsidR="00A251FA" w:rsidRPr="00A251FA">
        <w:rPr>
          <w:rFonts w:ascii="Mulish" w:eastAsia="Mulish" w:hAnsi="Mulish" w:cs="Mulish"/>
          <w:color w:val="0C0C0C" w:themeColor="text1"/>
          <w:lang w:eastAsia="es-ES" w:bidi="es-ES"/>
        </w:rPr>
        <w:t>que perciben determinada cantidad de fondos públicos</w:t>
      </w:r>
      <w:r w:rsidR="00CD436E" w:rsidRPr="00561A62">
        <w:rPr>
          <w:rFonts w:ascii="Mulish" w:hAnsi="Mulish"/>
        </w:rPr>
        <w:t>–</w:t>
      </w:r>
      <w:r w:rsidR="00A251FA" w:rsidRPr="00A251FA">
        <w:rPr>
          <w:rFonts w:ascii="Mulish" w:eastAsia="Mulish" w:hAnsi="Mulish" w:cs="Mulish"/>
          <w:color w:val="0C0C0C" w:themeColor="text1"/>
          <w:lang w:eastAsia="es-ES" w:bidi="es-ES"/>
        </w:rPr>
        <w:t xml:space="preserve"> publica</w:t>
      </w:r>
      <w:r w:rsidR="00DA2CF7">
        <w:rPr>
          <w:rFonts w:ascii="Mulish" w:eastAsia="Mulish" w:hAnsi="Mulish" w:cs="Mulish"/>
          <w:color w:val="0C0C0C" w:themeColor="text1"/>
          <w:lang w:eastAsia="es-ES" w:bidi="es-ES"/>
        </w:rPr>
        <w:t>n</w:t>
      </w:r>
      <w:r w:rsidR="00A251FA" w:rsidRPr="00A251FA">
        <w:rPr>
          <w:rFonts w:ascii="Mulish" w:eastAsia="Mulish" w:hAnsi="Mulish" w:cs="Mulish"/>
          <w:color w:val="0C0C0C" w:themeColor="text1"/>
          <w:lang w:eastAsia="es-ES" w:bidi="es-ES"/>
        </w:rPr>
        <w:t xml:space="preserve"> en sus páginas web la información a la que están legalmente obligadas. </w:t>
      </w:r>
    </w:p>
    <w:p w14:paraId="6834649A" w14:textId="77777777" w:rsidR="00A251FA" w:rsidRPr="00A251FA" w:rsidRDefault="00A251FA" w:rsidP="00A251FA">
      <w:pPr>
        <w:spacing w:after="0"/>
        <w:jc w:val="both"/>
        <w:rPr>
          <w:rFonts w:ascii="Mulish" w:eastAsia="Mulish" w:hAnsi="Mulish" w:cs="Mulish"/>
          <w:color w:val="0C0C0C" w:themeColor="text1"/>
          <w:lang w:eastAsia="es-ES" w:bidi="es-ES"/>
        </w:rPr>
      </w:pPr>
    </w:p>
    <w:p w14:paraId="3D044814" w14:textId="47BF51DE" w:rsidR="00A251FA" w:rsidRPr="00A251FA" w:rsidRDefault="00A251FA" w:rsidP="00A251FA">
      <w:pPr>
        <w:spacing w:after="0"/>
        <w:jc w:val="both"/>
        <w:rPr>
          <w:rFonts w:ascii="Mulish" w:eastAsia="Mulish" w:hAnsi="Mulish" w:cs="Mulish"/>
          <w:color w:val="0C0C0C" w:themeColor="text1"/>
          <w:lang w:eastAsia="es-ES" w:bidi="es-ES"/>
        </w:rPr>
      </w:pPr>
      <w:r w:rsidRPr="00A251FA">
        <w:rPr>
          <w:rFonts w:ascii="Mulish" w:eastAsia="Mulish" w:hAnsi="Mulish" w:cs="Mulish"/>
          <w:color w:val="0C0C0C" w:themeColor="text1"/>
          <w:lang w:eastAsia="es-ES" w:bidi="es-ES"/>
        </w:rPr>
        <w:t xml:space="preserve">La selección de las entidades evaluadas se ha efectuado mediante muestreo aleatorio estratificado </w:t>
      </w:r>
      <w:r w:rsidR="00492843">
        <w:rPr>
          <w:rFonts w:ascii="Mulish" w:eastAsia="Mulish" w:hAnsi="Mulish" w:cs="Mulish"/>
          <w:color w:val="0C0C0C" w:themeColor="text1"/>
          <w:lang w:eastAsia="es-ES" w:bidi="es-ES"/>
        </w:rPr>
        <w:t>entre entidades</w:t>
      </w:r>
      <w:r w:rsidRPr="00A251FA">
        <w:rPr>
          <w:rFonts w:ascii="Mulish" w:eastAsia="Mulish" w:hAnsi="Mulish" w:cs="Mulish"/>
          <w:color w:val="0C0C0C" w:themeColor="text1"/>
          <w:lang w:eastAsia="es-ES" w:bidi="es-ES"/>
        </w:rPr>
        <w:t xml:space="preserve"> perceptora</w:t>
      </w:r>
      <w:r w:rsidR="00492843">
        <w:rPr>
          <w:rFonts w:ascii="Mulish" w:eastAsia="Mulish" w:hAnsi="Mulish" w:cs="Mulish"/>
          <w:color w:val="0C0C0C" w:themeColor="text1"/>
          <w:lang w:eastAsia="es-ES" w:bidi="es-ES"/>
        </w:rPr>
        <w:t>s</w:t>
      </w:r>
      <w:r w:rsidRPr="00A251FA">
        <w:rPr>
          <w:rFonts w:ascii="Mulish" w:eastAsia="Mulish" w:hAnsi="Mulish" w:cs="Mulish"/>
          <w:color w:val="0C0C0C" w:themeColor="text1"/>
          <w:lang w:eastAsia="es-ES" w:bidi="es-ES"/>
        </w:rPr>
        <w:t xml:space="preserve"> de subvenciones o ayudas públicas por cuantía superior a 500.000 euros en el periodo de un año, a partir de la información contenida en la Base de Datos Nacional de Subvenciones. De las </w:t>
      </w:r>
      <w:r w:rsidR="000843E8">
        <w:rPr>
          <w:rFonts w:ascii="Mulish" w:eastAsia="Mulish" w:hAnsi="Mulish" w:cs="Mulish"/>
          <w:color w:val="0C0C0C" w:themeColor="text1"/>
          <w:lang w:eastAsia="es-ES" w:bidi="es-ES"/>
        </w:rPr>
        <w:t>84</w:t>
      </w:r>
      <w:r w:rsidRPr="00A251FA">
        <w:rPr>
          <w:rFonts w:ascii="Mulish" w:eastAsia="Mulish" w:hAnsi="Mulish" w:cs="Mulish"/>
          <w:color w:val="0C0C0C" w:themeColor="text1"/>
          <w:lang w:eastAsia="es-ES" w:bidi="es-ES"/>
        </w:rPr>
        <w:t xml:space="preserve"> entidades analizadas, </w:t>
      </w:r>
      <w:r w:rsidR="000843E8">
        <w:rPr>
          <w:rFonts w:ascii="Mulish" w:eastAsia="Mulish" w:hAnsi="Mulish" w:cs="Mulish"/>
          <w:color w:val="0C0C0C" w:themeColor="text1"/>
          <w:lang w:eastAsia="es-ES" w:bidi="es-ES"/>
        </w:rPr>
        <w:t>22</w:t>
      </w:r>
      <w:r w:rsidRPr="00A251FA">
        <w:rPr>
          <w:rFonts w:ascii="Mulish" w:eastAsia="Mulish" w:hAnsi="Mulish" w:cs="Mulish"/>
          <w:color w:val="0C0C0C" w:themeColor="text1"/>
          <w:lang w:eastAsia="es-ES" w:bidi="es-ES"/>
        </w:rPr>
        <w:t xml:space="preserve"> ya habían sido evaluadas </w:t>
      </w:r>
      <w:r w:rsidR="00CA4A22">
        <w:rPr>
          <w:rFonts w:ascii="Mulish" w:eastAsia="Mulish" w:hAnsi="Mulish" w:cs="Mulish"/>
          <w:color w:val="0C0C0C" w:themeColor="text1"/>
          <w:lang w:eastAsia="es-ES" w:bidi="es-ES"/>
        </w:rPr>
        <w:t>en 202</w:t>
      </w:r>
      <w:r w:rsidR="000843E8">
        <w:rPr>
          <w:rFonts w:ascii="Mulish" w:eastAsia="Mulish" w:hAnsi="Mulish" w:cs="Mulish"/>
          <w:color w:val="0C0C0C" w:themeColor="text1"/>
          <w:lang w:eastAsia="es-ES" w:bidi="es-ES"/>
        </w:rPr>
        <w:t>4</w:t>
      </w:r>
      <w:r w:rsidR="00CA4A22">
        <w:rPr>
          <w:rFonts w:ascii="Mulish" w:eastAsia="Mulish" w:hAnsi="Mulish" w:cs="Mulish"/>
          <w:color w:val="0C0C0C" w:themeColor="text1"/>
          <w:lang w:eastAsia="es-ES" w:bidi="es-ES"/>
        </w:rPr>
        <w:t xml:space="preserve"> </w:t>
      </w:r>
      <w:r w:rsidRPr="00A251FA">
        <w:rPr>
          <w:rFonts w:ascii="Mulish" w:eastAsia="Mulish" w:hAnsi="Mulish" w:cs="Mulish"/>
          <w:color w:val="0C0C0C" w:themeColor="text1"/>
          <w:lang w:eastAsia="es-ES" w:bidi="es-ES"/>
        </w:rPr>
        <w:t xml:space="preserve">por el Consejo, y </w:t>
      </w:r>
      <w:r w:rsidR="000843E8">
        <w:rPr>
          <w:rFonts w:ascii="Mulish" w:eastAsia="Mulish" w:hAnsi="Mulish" w:cs="Mulish"/>
          <w:color w:val="0C0C0C" w:themeColor="text1"/>
          <w:lang w:eastAsia="es-ES" w:bidi="es-ES"/>
        </w:rPr>
        <w:t>62</w:t>
      </w:r>
      <w:r w:rsidRPr="00A251FA">
        <w:rPr>
          <w:rFonts w:ascii="Mulish" w:eastAsia="Mulish" w:hAnsi="Mulish" w:cs="Mulish"/>
          <w:color w:val="0C0C0C" w:themeColor="text1"/>
          <w:lang w:eastAsia="es-ES" w:bidi="es-ES"/>
        </w:rPr>
        <w:t xml:space="preserve"> entidades </w:t>
      </w:r>
      <w:r w:rsidR="00DA2CF7">
        <w:rPr>
          <w:rFonts w:ascii="Mulish" w:eastAsia="Mulish" w:hAnsi="Mulish" w:cs="Mulish"/>
          <w:color w:val="0C0C0C" w:themeColor="text1"/>
          <w:lang w:eastAsia="es-ES" w:bidi="es-ES"/>
        </w:rPr>
        <w:t xml:space="preserve">han sido </w:t>
      </w:r>
      <w:r w:rsidRPr="00A251FA">
        <w:rPr>
          <w:rFonts w:ascii="Mulish" w:eastAsia="Mulish" w:hAnsi="Mulish" w:cs="Mulish"/>
          <w:color w:val="0C0C0C" w:themeColor="text1"/>
          <w:lang w:eastAsia="es-ES" w:bidi="es-ES"/>
        </w:rPr>
        <w:t>analizadas por primera vez</w:t>
      </w:r>
      <w:r w:rsidR="00441788">
        <w:rPr>
          <w:rFonts w:ascii="Mulish" w:eastAsia="Mulish" w:hAnsi="Mulish" w:cs="Mulish"/>
          <w:color w:val="0C0C0C" w:themeColor="text1"/>
          <w:lang w:eastAsia="es-ES" w:bidi="es-ES"/>
        </w:rPr>
        <w:t xml:space="preserve"> en 2025</w:t>
      </w:r>
      <w:r w:rsidRPr="00A251FA">
        <w:rPr>
          <w:rFonts w:ascii="Mulish" w:eastAsia="Mulish" w:hAnsi="Mulish" w:cs="Mulish"/>
          <w:color w:val="0C0C0C" w:themeColor="text1"/>
          <w:lang w:eastAsia="es-ES" w:bidi="es-ES"/>
        </w:rPr>
        <w:t xml:space="preserve">. </w:t>
      </w:r>
      <w:r w:rsidR="00D846D5">
        <w:rPr>
          <w:rFonts w:ascii="Mulish" w:eastAsia="Mulish" w:hAnsi="Mulish" w:cs="Mulish"/>
          <w:color w:val="0C0C0C" w:themeColor="text1"/>
          <w:lang w:eastAsia="es-ES" w:bidi="es-ES"/>
        </w:rPr>
        <w:t>Entre los sujetos evaluados figuran</w:t>
      </w:r>
      <w:r w:rsidR="00D846D5" w:rsidRPr="00D846D5">
        <w:rPr>
          <w:rFonts w:ascii="Mulish" w:eastAsia="Mulish" w:hAnsi="Mulish" w:cs="Mulish"/>
          <w:color w:val="0C0C0C" w:themeColor="text1"/>
          <w:lang w:eastAsia="es-ES" w:bidi="es-ES"/>
        </w:rPr>
        <w:t xml:space="preserve"> empresas, fundaciones, asociaciones, federaciones deportivas y ONG.</w:t>
      </w:r>
      <w:r w:rsidR="00D846D5">
        <w:rPr>
          <w:rFonts w:ascii="Mulish" w:eastAsia="Mulish" w:hAnsi="Mulish" w:cs="Mulish"/>
          <w:color w:val="0C0C0C" w:themeColor="text1"/>
          <w:lang w:eastAsia="es-ES" w:bidi="es-ES"/>
        </w:rPr>
        <w:t xml:space="preserve"> </w:t>
      </w:r>
    </w:p>
    <w:p w14:paraId="684E02D3" w14:textId="77777777" w:rsidR="00A251FA" w:rsidRPr="00A251FA" w:rsidRDefault="00A251FA" w:rsidP="00A251FA">
      <w:pPr>
        <w:spacing w:after="0"/>
        <w:jc w:val="both"/>
        <w:rPr>
          <w:rFonts w:ascii="Mulish" w:eastAsia="Mulish" w:hAnsi="Mulish" w:cs="Mulish"/>
          <w:color w:val="0C0C0C" w:themeColor="text1"/>
          <w:lang w:eastAsia="es-ES" w:bidi="es-ES"/>
        </w:rPr>
      </w:pPr>
    </w:p>
    <w:p w14:paraId="13CF5782" w14:textId="2E96669A" w:rsidR="00A251FA" w:rsidRDefault="00525C96" w:rsidP="00A251FA">
      <w:pPr>
        <w:spacing w:after="0"/>
        <w:jc w:val="both"/>
        <w:rPr>
          <w:rFonts w:ascii="Mulish" w:eastAsia="Mulish" w:hAnsi="Mulish" w:cs="Mulish"/>
          <w:color w:val="0C0C0C" w:themeColor="text1"/>
          <w:lang w:eastAsia="es-ES" w:bidi="es-ES"/>
        </w:rPr>
      </w:pPr>
      <w:r w:rsidRPr="00525C96">
        <w:rPr>
          <w:rFonts w:ascii="Mulish" w:eastAsia="Mulish" w:hAnsi="Mulish" w:cs="Mulish"/>
          <w:color w:val="0C0C0C" w:themeColor="text1"/>
          <w:lang w:eastAsia="es-ES" w:bidi="es-ES"/>
        </w:rPr>
        <w:t>El grado medio de cumplimiento alcanzado por el conjunto de las entidades es claramente insuficiente, un 34,4%, si bien existe una gran disparidad según la entidad, con algunas que logran nivele</w:t>
      </w:r>
      <w:r w:rsidRPr="004478AA">
        <w:rPr>
          <w:rFonts w:ascii="Mulish" w:eastAsia="Mulish" w:hAnsi="Mulish" w:cs="Mulish"/>
          <w:lang w:eastAsia="es-ES" w:bidi="es-ES"/>
        </w:rPr>
        <w:t xml:space="preserve">s muy altos o incluso pleno cumplimiento, y otras que presentan aún </w:t>
      </w:r>
      <w:r w:rsidRPr="004478AA">
        <w:rPr>
          <w:rFonts w:ascii="Mulish" w:eastAsia="Mulish" w:hAnsi="Mulish" w:cs="Mulish"/>
          <w:lang w:eastAsia="es-ES" w:bidi="es-ES"/>
        </w:rPr>
        <w:lastRenderedPageBreak/>
        <w:t xml:space="preserve">enormes carencias. </w:t>
      </w:r>
      <w:r w:rsidR="00F83F89" w:rsidRPr="004478AA">
        <w:rPr>
          <w:rFonts w:ascii="Mulish" w:eastAsia="Mulish" w:hAnsi="Mulish" w:cs="Mulish"/>
          <w:lang w:eastAsia="es-ES" w:bidi="es-ES"/>
        </w:rPr>
        <w:t xml:space="preserve">Solo 18 de las entidades evaluadas tienen un nivel de cumplimiento igual o mayor al 50%. </w:t>
      </w:r>
      <w:r w:rsidR="00A251FA" w:rsidRPr="004478AA">
        <w:rPr>
          <w:rFonts w:ascii="Mulish" w:eastAsia="Mulish" w:hAnsi="Mulish" w:cs="Mulish"/>
          <w:lang w:eastAsia="es-ES" w:bidi="es-ES"/>
        </w:rPr>
        <w:t xml:space="preserve">Para </w:t>
      </w:r>
      <w:r w:rsidR="00A251FA">
        <w:rPr>
          <w:rFonts w:ascii="Mulish" w:eastAsia="Mulish" w:hAnsi="Mulish" w:cs="Mulish"/>
          <w:color w:val="0C0C0C" w:themeColor="text1"/>
          <w:lang w:eastAsia="es-ES" w:bidi="es-ES"/>
        </w:rPr>
        <w:t>obtener</w:t>
      </w:r>
      <w:r w:rsidR="00A251FA" w:rsidRPr="00A251FA">
        <w:rPr>
          <w:rFonts w:ascii="Mulish" w:eastAsia="Mulish" w:hAnsi="Mulish" w:cs="Mulish"/>
          <w:color w:val="0C0C0C" w:themeColor="text1"/>
          <w:lang w:eastAsia="es-ES" w:bidi="es-ES"/>
        </w:rPr>
        <w:t xml:space="preserve"> e</w:t>
      </w:r>
      <w:r w:rsidR="005B7B5A">
        <w:rPr>
          <w:rFonts w:ascii="Mulish" w:eastAsia="Mulish" w:hAnsi="Mulish" w:cs="Mulish"/>
          <w:color w:val="0C0C0C" w:themeColor="text1"/>
          <w:lang w:eastAsia="es-ES" w:bidi="es-ES"/>
        </w:rPr>
        <w:t>l</w:t>
      </w:r>
      <w:r w:rsidR="00A251FA" w:rsidRPr="00A251FA">
        <w:rPr>
          <w:rFonts w:ascii="Mulish" w:eastAsia="Mulish" w:hAnsi="Mulish" w:cs="Mulish"/>
          <w:color w:val="0C0C0C" w:themeColor="text1"/>
          <w:lang w:eastAsia="es-ES" w:bidi="es-ES"/>
        </w:rPr>
        <w:t xml:space="preserve"> dato </w:t>
      </w:r>
      <w:r w:rsidR="00DA2CF7">
        <w:rPr>
          <w:rFonts w:ascii="Mulish" w:eastAsia="Mulish" w:hAnsi="Mulish" w:cs="Mulish"/>
          <w:color w:val="0C0C0C" w:themeColor="text1"/>
          <w:lang w:eastAsia="es-ES" w:bidi="es-ES"/>
        </w:rPr>
        <w:t xml:space="preserve">del </w:t>
      </w:r>
      <w:r w:rsidR="00A251FA" w:rsidRPr="00A251FA">
        <w:rPr>
          <w:rFonts w:ascii="Mulish" w:eastAsia="Mulish" w:hAnsi="Mulish" w:cs="Mulish"/>
          <w:color w:val="0C0C0C" w:themeColor="text1"/>
          <w:lang w:eastAsia="es-ES" w:bidi="es-ES"/>
        </w:rPr>
        <w:t>Índice de Cumplimiento de la Información Obligatoria</w:t>
      </w:r>
      <w:r w:rsidR="00DA2CF7">
        <w:rPr>
          <w:rFonts w:ascii="Mulish" w:eastAsia="Mulish" w:hAnsi="Mulish" w:cs="Mulish"/>
          <w:color w:val="0C0C0C" w:themeColor="text1"/>
          <w:lang w:eastAsia="es-ES" w:bidi="es-ES"/>
        </w:rPr>
        <w:t xml:space="preserve"> (</w:t>
      </w:r>
      <w:r w:rsidR="00A251FA" w:rsidRPr="00A251FA">
        <w:rPr>
          <w:rFonts w:ascii="Mulish" w:eastAsia="Mulish" w:hAnsi="Mulish" w:cs="Mulish"/>
          <w:color w:val="0C0C0C" w:themeColor="text1"/>
          <w:lang w:eastAsia="es-ES" w:bidi="es-ES"/>
        </w:rPr>
        <w:t xml:space="preserve">ICIO), el Consejo evalúa si las entidades publican o no las informaciones a las que están obligadas </w:t>
      </w:r>
      <w:r w:rsidR="005B7B5A">
        <w:rPr>
          <w:rFonts w:ascii="Mulish" w:eastAsia="Mulish" w:hAnsi="Mulish" w:cs="Mulish"/>
          <w:color w:val="0C0C0C" w:themeColor="text1"/>
          <w:lang w:eastAsia="es-ES" w:bidi="es-ES"/>
        </w:rPr>
        <w:t xml:space="preserve">y </w:t>
      </w:r>
      <w:r w:rsidR="00A251FA" w:rsidRPr="00A251FA">
        <w:rPr>
          <w:rFonts w:ascii="Mulish" w:eastAsia="Mulish" w:hAnsi="Mulish" w:cs="Mulish"/>
          <w:color w:val="0C0C0C" w:themeColor="text1"/>
          <w:lang w:eastAsia="es-ES" w:bidi="es-ES"/>
        </w:rPr>
        <w:t xml:space="preserve">si lo hacen </w:t>
      </w:r>
      <w:r w:rsidR="005E34BF">
        <w:rPr>
          <w:rFonts w:ascii="Mulish" w:eastAsia="Mulish" w:hAnsi="Mulish" w:cs="Mulish"/>
          <w:color w:val="0C0C0C" w:themeColor="text1"/>
          <w:lang w:eastAsia="es-ES" w:bidi="es-ES"/>
        </w:rPr>
        <w:t>adecuadamente</w:t>
      </w:r>
      <w:r w:rsidR="00A251FA" w:rsidRPr="00A251FA">
        <w:rPr>
          <w:rFonts w:ascii="Mulish" w:eastAsia="Mulish" w:hAnsi="Mulish" w:cs="Mulish"/>
          <w:color w:val="0C0C0C" w:themeColor="text1"/>
          <w:lang w:eastAsia="es-ES" w:bidi="es-ES"/>
        </w:rPr>
        <w:t xml:space="preserve"> (con suficiente grado de actualización, </w:t>
      </w:r>
      <w:r w:rsidR="00DA2CF7">
        <w:rPr>
          <w:rFonts w:ascii="Mulish" w:eastAsia="Mulish" w:hAnsi="Mulish" w:cs="Mulish"/>
          <w:color w:val="0C0C0C" w:themeColor="text1"/>
          <w:lang w:eastAsia="es-ES" w:bidi="es-ES"/>
        </w:rPr>
        <w:t xml:space="preserve">accesibilidad, </w:t>
      </w:r>
      <w:r w:rsidR="00A251FA" w:rsidRPr="00A251FA">
        <w:rPr>
          <w:rFonts w:ascii="Mulish" w:eastAsia="Mulish" w:hAnsi="Mulish" w:cs="Mulish"/>
          <w:color w:val="0C0C0C" w:themeColor="text1"/>
          <w:lang w:eastAsia="es-ES" w:bidi="es-ES"/>
        </w:rPr>
        <w:t>en formatos reutilizables, etc.).</w:t>
      </w:r>
      <w:r>
        <w:rPr>
          <w:rFonts w:ascii="Mulish" w:eastAsia="Mulish" w:hAnsi="Mulish" w:cs="Mulish"/>
          <w:color w:val="0C0C0C" w:themeColor="text1"/>
          <w:lang w:eastAsia="es-ES" w:bidi="es-ES"/>
        </w:rPr>
        <w:t xml:space="preserve"> </w:t>
      </w:r>
    </w:p>
    <w:p w14:paraId="253B7053" w14:textId="7450DCEB" w:rsidR="00C27BA6" w:rsidRDefault="00C27BA6" w:rsidP="00A251FA">
      <w:pPr>
        <w:spacing w:after="0"/>
        <w:jc w:val="both"/>
        <w:rPr>
          <w:rFonts w:ascii="Mulish" w:eastAsia="Mulish" w:hAnsi="Mulish" w:cs="Mulish"/>
          <w:color w:val="0C0C0C" w:themeColor="text1"/>
          <w:lang w:eastAsia="es-ES" w:bidi="es-ES"/>
        </w:rPr>
      </w:pPr>
    </w:p>
    <w:p w14:paraId="6F141ADA" w14:textId="05C6D63A" w:rsidR="001A1A07" w:rsidRDefault="00A251FA" w:rsidP="001C1F14">
      <w:pPr>
        <w:spacing w:after="0"/>
        <w:jc w:val="both"/>
        <w:rPr>
          <w:rFonts w:ascii="Mulish" w:eastAsia="Mulish" w:hAnsi="Mulish" w:cs="Mulish"/>
          <w:color w:val="0C0C0C" w:themeColor="text1"/>
          <w:lang w:eastAsia="es-ES" w:bidi="es-ES"/>
        </w:rPr>
      </w:pPr>
      <w:r w:rsidRPr="00A251FA">
        <w:rPr>
          <w:rFonts w:ascii="Mulish" w:eastAsia="Mulish" w:hAnsi="Mulish" w:cs="Mulish"/>
          <w:color w:val="0C0C0C" w:themeColor="text1"/>
          <w:lang w:eastAsia="es-ES" w:bidi="es-ES"/>
        </w:rPr>
        <w:t>El bajo ICIO obtenido por el conjunto de las entidades privadas analizadas en 202</w:t>
      </w:r>
      <w:r w:rsidR="0082600E">
        <w:rPr>
          <w:rFonts w:ascii="Mulish" w:eastAsia="Mulish" w:hAnsi="Mulish" w:cs="Mulish"/>
          <w:color w:val="0C0C0C" w:themeColor="text1"/>
          <w:lang w:eastAsia="es-ES" w:bidi="es-ES"/>
        </w:rPr>
        <w:t>5</w:t>
      </w:r>
      <w:r w:rsidRPr="00A251FA">
        <w:rPr>
          <w:rFonts w:ascii="Mulish" w:eastAsia="Mulish" w:hAnsi="Mulish" w:cs="Mulish"/>
          <w:color w:val="0C0C0C" w:themeColor="text1"/>
          <w:lang w:eastAsia="es-ES" w:bidi="es-ES"/>
        </w:rPr>
        <w:t xml:space="preserve"> se explica, por una parte, por la </w:t>
      </w:r>
      <w:r w:rsidRPr="00EE3859">
        <w:rPr>
          <w:rFonts w:ascii="Mulish" w:eastAsia="Mulish" w:hAnsi="Mulish" w:cs="Mulish"/>
          <w:b/>
          <w:bCs/>
          <w:color w:val="0C0C0C" w:themeColor="text1"/>
          <w:lang w:eastAsia="es-ES" w:bidi="es-ES"/>
        </w:rPr>
        <w:t>falta de publicación de informaciones obligatorias: las entidades evaluadas no publican el 6</w:t>
      </w:r>
      <w:r w:rsidR="000843E8" w:rsidRPr="00EE3859">
        <w:rPr>
          <w:rFonts w:ascii="Mulish" w:eastAsia="Mulish" w:hAnsi="Mulish" w:cs="Mulish"/>
          <w:b/>
          <w:bCs/>
          <w:color w:val="0C0C0C" w:themeColor="text1"/>
          <w:lang w:eastAsia="es-ES" w:bidi="es-ES"/>
        </w:rPr>
        <w:t>1</w:t>
      </w:r>
      <w:r w:rsidRPr="00EE3859">
        <w:rPr>
          <w:rFonts w:ascii="Mulish" w:eastAsia="Mulish" w:hAnsi="Mulish" w:cs="Mulish"/>
          <w:b/>
          <w:bCs/>
          <w:color w:val="0C0C0C" w:themeColor="text1"/>
          <w:lang w:eastAsia="es-ES" w:bidi="es-ES"/>
        </w:rPr>
        <w:t>,</w:t>
      </w:r>
      <w:r w:rsidR="000843E8" w:rsidRPr="00EE3859">
        <w:rPr>
          <w:rFonts w:ascii="Mulish" w:eastAsia="Mulish" w:hAnsi="Mulish" w:cs="Mulish"/>
          <w:b/>
          <w:bCs/>
          <w:color w:val="0C0C0C" w:themeColor="text1"/>
          <w:lang w:eastAsia="es-ES" w:bidi="es-ES"/>
        </w:rPr>
        <w:t>3</w:t>
      </w:r>
      <w:r w:rsidRPr="00EE3859">
        <w:rPr>
          <w:rFonts w:ascii="Mulish" w:eastAsia="Mulish" w:hAnsi="Mulish" w:cs="Mulish"/>
          <w:b/>
          <w:bCs/>
          <w:color w:val="0C0C0C" w:themeColor="text1"/>
          <w:lang w:eastAsia="es-ES" w:bidi="es-ES"/>
        </w:rPr>
        <w:t>% de ellas</w:t>
      </w:r>
      <w:r w:rsidR="004B6393" w:rsidRPr="00EE3859">
        <w:rPr>
          <w:rFonts w:ascii="Mulish" w:eastAsia="Mulish" w:hAnsi="Mulish" w:cs="Mulish"/>
          <w:b/>
          <w:bCs/>
          <w:color w:val="0C0C0C" w:themeColor="text1"/>
          <w:lang w:eastAsia="es-ES" w:bidi="es-ES"/>
        </w:rPr>
        <w:t>, es decir solo</w:t>
      </w:r>
      <w:r w:rsidR="004B6393" w:rsidRPr="005E34BF">
        <w:rPr>
          <w:rFonts w:ascii="Mulish" w:eastAsia="Mulish" w:hAnsi="Mulish" w:cs="Mulish"/>
          <w:b/>
          <w:bCs/>
          <w:color w:val="0C0C0C" w:themeColor="text1"/>
          <w:lang w:eastAsia="es-ES" w:bidi="es-ES"/>
        </w:rPr>
        <w:t xml:space="preserve"> publican 4 de cada 10 contenidos obligatorios</w:t>
      </w:r>
      <w:r w:rsidRPr="00A251FA">
        <w:rPr>
          <w:rFonts w:ascii="Mulish" w:eastAsia="Mulish" w:hAnsi="Mulish" w:cs="Mulish"/>
          <w:color w:val="0C0C0C" w:themeColor="text1"/>
          <w:lang w:eastAsia="es-ES" w:bidi="es-ES"/>
        </w:rPr>
        <w:t xml:space="preserve">. </w:t>
      </w:r>
    </w:p>
    <w:p w14:paraId="3380414A" w14:textId="77777777" w:rsidR="001A1A07" w:rsidRDefault="001A1A07" w:rsidP="001C1F14">
      <w:pPr>
        <w:spacing w:after="0"/>
        <w:jc w:val="both"/>
        <w:rPr>
          <w:rFonts w:ascii="Mulish" w:eastAsia="Mulish" w:hAnsi="Mulish" w:cs="Mulish"/>
          <w:color w:val="0C0C0C" w:themeColor="text1"/>
          <w:lang w:eastAsia="es-ES" w:bidi="es-ES"/>
        </w:rPr>
      </w:pPr>
    </w:p>
    <w:p w14:paraId="0B920821" w14:textId="218B0BBF" w:rsidR="001C1F14" w:rsidRDefault="001C1F14" w:rsidP="001C1F14">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Las informaciones obligatorias que menos publican</w:t>
      </w:r>
      <w:r w:rsidR="001A1A07">
        <w:rPr>
          <w:rFonts w:ascii="Mulish" w:eastAsia="Mulish" w:hAnsi="Mulish" w:cs="Mulish"/>
          <w:color w:val="0C0C0C" w:themeColor="text1"/>
          <w:lang w:eastAsia="es-ES" w:bidi="es-ES"/>
        </w:rPr>
        <w:t xml:space="preserve"> las entidades analizadas</w:t>
      </w:r>
      <w:r>
        <w:rPr>
          <w:rFonts w:ascii="Mulish" w:eastAsia="Mulish" w:hAnsi="Mulish" w:cs="Mulish"/>
          <w:color w:val="0C0C0C" w:themeColor="text1"/>
          <w:lang w:eastAsia="es-ES" w:bidi="es-ES"/>
        </w:rPr>
        <w:t xml:space="preserve"> son </w:t>
      </w:r>
      <w:r w:rsidRPr="001C1F14">
        <w:rPr>
          <w:rFonts w:ascii="Mulish" w:eastAsia="Mulish" w:hAnsi="Mulish" w:cs="Mulish"/>
          <w:color w:val="0C0C0C" w:themeColor="text1"/>
          <w:lang w:eastAsia="es-ES" w:bidi="es-ES"/>
        </w:rPr>
        <w:t>el organigrama, la descripción de la estructura organizativa y el perfil y trayectoria profesional de sus máximos responsable</w:t>
      </w:r>
      <w:r>
        <w:rPr>
          <w:rFonts w:ascii="Mulish" w:eastAsia="Mulish" w:hAnsi="Mulish" w:cs="Mulish"/>
          <w:color w:val="0C0C0C" w:themeColor="text1"/>
          <w:lang w:eastAsia="es-ES" w:bidi="es-ES"/>
        </w:rPr>
        <w:t xml:space="preserve">s, así como </w:t>
      </w:r>
      <w:r w:rsidRPr="001C1F14">
        <w:rPr>
          <w:rFonts w:ascii="Mulish" w:eastAsia="Mulish" w:hAnsi="Mulish" w:cs="Mulish"/>
          <w:color w:val="0C0C0C" w:themeColor="text1"/>
          <w:lang w:eastAsia="es-ES" w:bidi="es-ES"/>
        </w:rPr>
        <w:t xml:space="preserve">las informaciones relativas a contratos </w:t>
      </w:r>
      <w:r>
        <w:rPr>
          <w:rFonts w:ascii="Mulish" w:eastAsia="Mulish" w:hAnsi="Mulish" w:cs="Mulish"/>
          <w:color w:val="0C0C0C" w:themeColor="text1"/>
          <w:lang w:eastAsia="es-ES" w:bidi="es-ES"/>
        </w:rPr>
        <w:t xml:space="preserve">y convenios suscritos con </w:t>
      </w:r>
      <w:r w:rsidRPr="001C1F14">
        <w:rPr>
          <w:rFonts w:ascii="Mulish" w:eastAsia="Mulish" w:hAnsi="Mulish" w:cs="Mulish"/>
          <w:color w:val="0C0C0C" w:themeColor="text1"/>
          <w:lang w:eastAsia="es-ES" w:bidi="es-ES"/>
        </w:rPr>
        <w:t>administraciones públicas</w:t>
      </w:r>
      <w:r>
        <w:rPr>
          <w:rFonts w:ascii="Mulish" w:eastAsia="Mulish" w:hAnsi="Mulish" w:cs="Mulish"/>
          <w:color w:val="0C0C0C" w:themeColor="text1"/>
          <w:lang w:eastAsia="es-ES" w:bidi="es-ES"/>
        </w:rPr>
        <w:t xml:space="preserve"> </w:t>
      </w:r>
      <w:r w:rsidRPr="001C1F14">
        <w:rPr>
          <w:rFonts w:ascii="Mulish" w:eastAsia="Mulish" w:hAnsi="Mulish" w:cs="Mulish"/>
          <w:color w:val="0C0C0C" w:themeColor="text1"/>
          <w:lang w:eastAsia="es-ES" w:bidi="es-ES"/>
        </w:rPr>
        <w:t xml:space="preserve">y </w:t>
      </w:r>
      <w:r>
        <w:rPr>
          <w:rFonts w:ascii="Mulish" w:eastAsia="Mulish" w:hAnsi="Mulish" w:cs="Mulish"/>
          <w:color w:val="0C0C0C" w:themeColor="text1"/>
          <w:lang w:eastAsia="es-ES" w:bidi="es-ES"/>
        </w:rPr>
        <w:t xml:space="preserve">las </w:t>
      </w:r>
      <w:r w:rsidRPr="001C1F14">
        <w:rPr>
          <w:rFonts w:ascii="Mulish" w:eastAsia="Mulish" w:hAnsi="Mulish" w:cs="Mulish"/>
          <w:color w:val="0C0C0C" w:themeColor="text1"/>
          <w:lang w:eastAsia="es-ES" w:bidi="es-ES"/>
        </w:rPr>
        <w:t xml:space="preserve">retribuciones de los máximos responsables. </w:t>
      </w:r>
      <w:r w:rsidR="0082600E">
        <w:rPr>
          <w:rFonts w:ascii="Mulish" w:eastAsia="Mulish" w:hAnsi="Mulish" w:cs="Mulish"/>
          <w:lang w:eastAsia="es-ES" w:bidi="es-ES"/>
        </w:rPr>
        <w:t>Aunque es</w:t>
      </w:r>
      <w:r w:rsidR="0082600E" w:rsidRPr="004478AA">
        <w:rPr>
          <w:rFonts w:ascii="Mulish" w:eastAsia="Mulish" w:hAnsi="Mulish" w:cs="Mulish"/>
          <w:lang w:eastAsia="es-ES" w:bidi="es-ES"/>
        </w:rPr>
        <w:t xml:space="preserve"> </w:t>
      </w:r>
      <w:r w:rsidR="00B70F0A" w:rsidRPr="004478AA">
        <w:rPr>
          <w:rFonts w:ascii="Mulish" w:eastAsia="Mulish" w:hAnsi="Mulish" w:cs="Mulish"/>
          <w:lang w:eastAsia="es-ES" w:bidi="es-ES"/>
        </w:rPr>
        <w:t xml:space="preserve">posible que la no publicación de alguno de estos </w:t>
      </w:r>
      <w:r w:rsidR="00F713CA" w:rsidRPr="004478AA">
        <w:rPr>
          <w:rFonts w:ascii="Mulish" w:eastAsia="Mulish" w:hAnsi="Mulish" w:cs="Mulish"/>
          <w:lang w:eastAsia="es-ES" w:bidi="es-ES"/>
        </w:rPr>
        <w:t xml:space="preserve">últimos </w:t>
      </w:r>
      <w:r w:rsidR="00B70F0A" w:rsidRPr="004478AA">
        <w:rPr>
          <w:rFonts w:ascii="Mulish" w:eastAsia="Mulish" w:hAnsi="Mulish" w:cs="Mulish"/>
          <w:lang w:eastAsia="es-ES" w:bidi="es-ES"/>
        </w:rPr>
        <w:t>contenidos se deba a que no se ha producido actividad en ellos (por ejemplo, no se han firmado convenios ni contratos con administraciones públicas</w:t>
      </w:r>
      <w:r w:rsidR="00F713CA" w:rsidRPr="004478AA">
        <w:rPr>
          <w:rFonts w:ascii="Mulish" w:eastAsia="Mulish" w:hAnsi="Mulish" w:cs="Mulish"/>
          <w:lang w:eastAsia="es-ES" w:bidi="es-ES"/>
        </w:rPr>
        <w:t>), la</w:t>
      </w:r>
      <w:r w:rsidR="0082600E">
        <w:rPr>
          <w:rFonts w:ascii="Mulish" w:eastAsia="Mulish" w:hAnsi="Mulish" w:cs="Mulish"/>
          <w:lang w:eastAsia="es-ES" w:bidi="es-ES"/>
        </w:rPr>
        <w:t>s</w:t>
      </w:r>
      <w:r w:rsidR="00F713CA" w:rsidRPr="004478AA">
        <w:rPr>
          <w:rFonts w:ascii="Mulish" w:eastAsia="Mulish" w:hAnsi="Mulish" w:cs="Mulish"/>
          <w:lang w:eastAsia="es-ES" w:bidi="es-ES"/>
        </w:rPr>
        <w:t xml:space="preserve"> entidad</w:t>
      </w:r>
      <w:r w:rsidR="0082600E">
        <w:rPr>
          <w:rFonts w:ascii="Mulish" w:eastAsia="Mulish" w:hAnsi="Mulish" w:cs="Mulish"/>
          <w:lang w:eastAsia="es-ES" w:bidi="es-ES"/>
        </w:rPr>
        <w:t xml:space="preserve">es </w:t>
      </w:r>
      <w:r w:rsidR="00F713CA" w:rsidRPr="004478AA">
        <w:rPr>
          <w:rFonts w:ascii="Mulish" w:eastAsia="Mulish" w:hAnsi="Mulish" w:cs="Mulish"/>
          <w:lang w:eastAsia="es-ES" w:bidi="es-ES"/>
        </w:rPr>
        <w:t>no especifica</w:t>
      </w:r>
      <w:r w:rsidR="0082600E">
        <w:rPr>
          <w:rFonts w:ascii="Mulish" w:eastAsia="Mulish" w:hAnsi="Mulish" w:cs="Mulish"/>
          <w:lang w:eastAsia="es-ES" w:bidi="es-ES"/>
        </w:rPr>
        <w:t>n</w:t>
      </w:r>
      <w:r w:rsidR="00F713CA" w:rsidRPr="004478AA">
        <w:rPr>
          <w:rFonts w:ascii="Mulish" w:eastAsia="Mulish" w:hAnsi="Mulish" w:cs="Mulish"/>
          <w:lang w:eastAsia="es-ES" w:bidi="es-ES"/>
        </w:rPr>
        <w:t xml:space="preserve"> esta circunstancia en el portal web, de forma que la ciudadanía no puede saber la causa de la omisión de la información. </w:t>
      </w:r>
    </w:p>
    <w:p w14:paraId="1EE28358" w14:textId="77777777" w:rsidR="001C1F14" w:rsidRPr="001C1F14" w:rsidRDefault="001C1F14" w:rsidP="001C1F14">
      <w:pPr>
        <w:spacing w:after="0"/>
        <w:jc w:val="both"/>
        <w:rPr>
          <w:rFonts w:ascii="Mulish" w:eastAsia="Mulish" w:hAnsi="Mulish" w:cs="Mulish"/>
          <w:color w:val="0C0C0C" w:themeColor="text1"/>
          <w:lang w:eastAsia="es-ES" w:bidi="es-ES"/>
        </w:rPr>
      </w:pPr>
    </w:p>
    <w:p w14:paraId="49AC8DCA" w14:textId="7A7BEEF8" w:rsidR="00A251FA" w:rsidRDefault="00A251FA" w:rsidP="00A251FA">
      <w:pPr>
        <w:spacing w:after="0"/>
        <w:jc w:val="both"/>
        <w:rPr>
          <w:rFonts w:ascii="Mulish" w:eastAsia="Mulish" w:hAnsi="Mulish" w:cs="Mulish"/>
          <w:color w:val="0C0C0C" w:themeColor="text1"/>
          <w:lang w:eastAsia="es-ES" w:bidi="es-ES"/>
        </w:rPr>
      </w:pPr>
      <w:r w:rsidRPr="00A251FA">
        <w:rPr>
          <w:rFonts w:ascii="Mulish" w:eastAsia="Mulish" w:hAnsi="Mulish" w:cs="Mulish"/>
          <w:color w:val="0C0C0C" w:themeColor="text1"/>
          <w:lang w:eastAsia="es-ES" w:bidi="es-ES"/>
        </w:rPr>
        <w:t xml:space="preserve">Por otra parte, el Consejo ha constatado que muchas de estas entidades no incluyen referencias que permitan conocer a la ciudadanía el grado de actualización de la información publicada. </w:t>
      </w:r>
    </w:p>
    <w:p w14:paraId="7F8B9A73" w14:textId="77777777" w:rsidR="00EE3859" w:rsidRDefault="00EE3859" w:rsidP="00A251FA">
      <w:pPr>
        <w:spacing w:after="0"/>
        <w:jc w:val="both"/>
        <w:rPr>
          <w:rFonts w:ascii="Mulish" w:eastAsia="Mulish" w:hAnsi="Mulish" w:cs="Mulish"/>
          <w:color w:val="0C0C0C" w:themeColor="text1"/>
          <w:lang w:eastAsia="es-ES" w:bidi="es-ES"/>
        </w:rPr>
      </w:pPr>
    </w:p>
    <w:p w14:paraId="1583C07B" w14:textId="238D5AC6" w:rsidR="00EE3859" w:rsidRDefault="00EE3859" w:rsidP="00EE3859">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 xml:space="preserve">Por tipo de entidades, dentro de la muestra analizada, en general el nivel de cumplimiento es mucho mayor entre ONG y </w:t>
      </w:r>
      <w:r w:rsidR="0066097C">
        <w:rPr>
          <w:rFonts w:ascii="Mulish" w:eastAsia="Mulish" w:hAnsi="Mulish" w:cs="Mulish"/>
          <w:color w:val="0C0C0C" w:themeColor="text1"/>
          <w:lang w:eastAsia="es-ES" w:bidi="es-ES"/>
        </w:rPr>
        <w:t>f</w:t>
      </w:r>
      <w:r>
        <w:rPr>
          <w:rFonts w:ascii="Mulish" w:eastAsia="Mulish" w:hAnsi="Mulish" w:cs="Mulish"/>
          <w:color w:val="0C0C0C" w:themeColor="text1"/>
          <w:lang w:eastAsia="es-ES" w:bidi="es-ES"/>
        </w:rPr>
        <w:t xml:space="preserve">ederaciones deportivas, y mucho menor en las empresas privadas. </w:t>
      </w:r>
    </w:p>
    <w:p w14:paraId="5D07F661" w14:textId="77777777" w:rsidR="00EE3859" w:rsidRPr="00A251FA" w:rsidRDefault="00EE3859" w:rsidP="00A251FA">
      <w:pPr>
        <w:spacing w:after="0"/>
        <w:jc w:val="both"/>
        <w:rPr>
          <w:rFonts w:ascii="Mulish" w:eastAsia="Mulish" w:hAnsi="Mulish" w:cs="Mulish"/>
          <w:color w:val="0C0C0C" w:themeColor="text1"/>
          <w:lang w:eastAsia="es-ES" w:bidi="es-ES"/>
        </w:rPr>
      </w:pPr>
    </w:p>
    <w:p w14:paraId="23E0B06A" w14:textId="7E96719B" w:rsidR="004478AA" w:rsidRPr="002F5C99" w:rsidRDefault="004478AA" w:rsidP="004478AA">
      <w:pPr>
        <w:spacing w:after="0"/>
        <w:jc w:val="both"/>
        <w:rPr>
          <w:rFonts w:ascii="Mulish" w:eastAsia="Mulish" w:hAnsi="Mulish" w:cs="Mulish"/>
          <w:lang w:eastAsia="es-ES" w:bidi="es-ES"/>
        </w:rPr>
      </w:pPr>
      <w:r w:rsidRPr="002F5C99">
        <w:rPr>
          <w:rFonts w:ascii="Mulish" w:hAnsi="Mulish"/>
        </w:rPr>
        <w:t xml:space="preserve">El cumplimiento promedio alcanzado por las entidades evaluadas por segunda vez es mayor, y entre las que han aplicado el 60% o más de las indicaciones que les formuló el Consejo en su primera evaluación, el incremento medio del ICIO es de 30,5 puntos porcentuales. Dos entidades han aplicado todas las indicaciones formuladas por el Consejo y alcanzan pleno cumplimiento: </w:t>
      </w:r>
      <w:r w:rsidRPr="002F5C99">
        <w:rPr>
          <w:rFonts w:ascii="Mulish" w:eastAsia="Mulish" w:hAnsi="Mulish" w:cs="Mulish"/>
          <w:lang w:eastAsia="es-ES" w:bidi="es-ES"/>
        </w:rPr>
        <w:t>la Coordinadora de ONG para el desarrollo y Médicos del Mundo. En cambio, un 36,4% no ha aplicado ninguna d</w:t>
      </w:r>
      <w:r w:rsidR="001A1A07">
        <w:rPr>
          <w:rFonts w:ascii="Mulish" w:eastAsia="Mulish" w:hAnsi="Mulish" w:cs="Mulish"/>
          <w:lang w:eastAsia="es-ES" w:bidi="es-ES"/>
        </w:rPr>
        <w:t>e</w:t>
      </w:r>
      <w:r w:rsidRPr="002F5C99">
        <w:rPr>
          <w:rFonts w:ascii="Mulish" w:eastAsia="Mulish" w:hAnsi="Mulish" w:cs="Mulish"/>
          <w:lang w:eastAsia="es-ES" w:bidi="es-ES"/>
        </w:rPr>
        <w:t xml:space="preserve"> las indicaciones que les hizo la institución. </w:t>
      </w:r>
    </w:p>
    <w:p w14:paraId="7DDCA59A" w14:textId="77777777" w:rsidR="004478AA" w:rsidRDefault="004478AA" w:rsidP="004478AA">
      <w:pPr>
        <w:spacing w:after="0"/>
        <w:jc w:val="both"/>
        <w:rPr>
          <w:rFonts w:ascii="Mulish" w:eastAsia="Mulish" w:hAnsi="Mulish" w:cs="Mulish"/>
          <w:color w:val="0070C0"/>
          <w:lang w:eastAsia="es-ES" w:bidi="es-ES"/>
        </w:rPr>
      </w:pPr>
    </w:p>
    <w:p w14:paraId="715BC3E8" w14:textId="2C29F288" w:rsidR="00F713CA" w:rsidRPr="004478AA" w:rsidRDefault="00F713CA" w:rsidP="00A251FA">
      <w:pPr>
        <w:spacing w:after="0"/>
        <w:jc w:val="both"/>
        <w:rPr>
          <w:rFonts w:ascii="Mulish" w:eastAsia="Mulish" w:hAnsi="Mulish" w:cs="Mulish"/>
          <w:lang w:eastAsia="es-ES" w:bidi="es-ES"/>
        </w:rPr>
      </w:pPr>
      <w:r w:rsidRPr="004478AA">
        <w:rPr>
          <w:rFonts w:ascii="Mulish" w:eastAsia="Mulish" w:hAnsi="Mulish" w:cs="Mulish"/>
          <w:lang w:eastAsia="es-ES" w:bidi="es-ES"/>
        </w:rPr>
        <w:t xml:space="preserve">El Consejo recuerda que las empresas y entidades privadas que reciben fondos públicos deben cumplir rigurosamente con </w:t>
      </w:r>
      <w:r w:rsidR="0021628E">
        <w:rPr>
          <w:rFonts w:ascii="Mulish" w:eastAsia="Mulish" w:hAnsi="Mulish" w:cs="Mulish"/>
          <w:lang w:eastAsia="es-ES" w:bidi="es-ES"/>
        </w:rPr>
        <w:t>la</w:t>
      </w:r>
      <w:r w:rsidRPr="004478AA">
        <w:rPr>
          <w:rFonts w:ascii="Mulish" w:eastAsia="Mulish" w:hAnsi="Mulish" w:cs="Mulish"/>
          <w:lang w:eastAsia="es-ES" w:bidi="es-ES"/>
        </w:rPr>
        <w:t>s obligaciones de transparencia</w:t>
      </w:r>
      <w:r w:rsidR="0021628E">
        <w:rPr>
          <w:rFonts w:ascii="Mulish" w:eastAsia="Mulish" w:hAnsi="Mulish" w:cs="Mulish"/>
          <w:lang w:eastAsia="es-ES" w:bidi="es-ES"/>
        </w:rPr>
        <w:t xml:space="preserve"> que les impone la ley</w:t>
      </w:r>
      <w:r w:rsidRPr="004478AA">
        <w:rPr>
          <w:rFonts w:ascii="Mulish" w:eastAsia="Mulish" w:hAnsi="Mulish" w:cs="Mulish"/>
          <w:lang w:eastAsia="es-ES" w:bidi="es-ES"/>
        </w:rPr>
        <w:t xml:space="preserve">. El trabajo de evaluación que realiza el </w:t>
      </w:r>
      <w:r w:rsidRPr="002F5C99">
        <w:rPr>
          <w:rFonts w:ascii="Mulish" w:eastAsia="Mulish" w:hAnsi="Mulish" w:cs="Mulish"/>
          <w:lang w:eastAsia="es-ES" w:bidi="es-ES"/>
        </w:rPr>
        <w:t xml:space="preserve">Consejo y las recomendaciones específicas que formula a los sujetos obligados contribuye a mejorar </w:t>
      </w:r>
      <w:r w:rsidR="0075157F" w:rsidRPr="002F5C99">
        <w:rPr>
          <w:rFonts w:ascii="Mulish" w:eastAsia="Mulish" w:hAnsi="Mulish" w:cs="Mulish"/>
          <w:lang w:eastAsia="es-ES" w:bidi="es-ES"/>
        </w:rPr>
        <w:t>el</w:t>
      </w:r>
      <w:r w:rsidRPr="002F5C99">
        <w:rPr>
          <w:rFonts w:ascii="Mulish" w:eastAsia="Mulish" w:hAnsi="Mulish" w:cs="Mulish"/>
          <w:lang w:eastAsia="es-ES" w:bidi="es-ES"/>
        </w:rPr>
        <w:t xml:space="preserve"> cumplimiento e impulsar el nivel de transparencia</w:t>
      </w:r>
      <w:r w:rsidR="0075157F" w:rsidRPr="002F5C99">
        <w:rPr>
          <w:rFonts w:ascii="Mulish" w:eastAsia="Mulish" w:hAnsi="Mulish" w:cs="Mulish"/>
          <w:lang w:eastAsia="es-ES" w:bidi="es-ES"/>
        </w:rPr>
        <w:t xml:space="preserve"> de muchos de ellos</w:t>
      </w:r>
      <w:r w:rsidR="00D846D5">
        <w:rPr>
          <w:rFonts w:ascii="Mulish" w:eastAsia="Mulish" w:hAnsi="Mulish" w:cs="Mulish"/>
          <w:lang w:eastAsia="es-ES" w:bidi="es-ES"/>
        </w:rPr>
        <w:t>;</w:t>
      </w:r>
      <w:r w:rsidRPr="002F5C99">
        <w:rPr>
          <w:rFonts w:ascii="Mulish" w:eastAsia="Mulish" w:hAnsi="Mulish" w:cs="Mulish"/>
          <w:lang w:eastAsia="es-ES" w:bidi="es-ES"/>
        </w:rPr>
        <w:t xml:space="preserve"> </w:t>
      </w:r>
      <w:r w:rsidR="0021628E">
        <w:rPr>
          <w:rFonts w:ascii="Mulish" w:eastAsia="Mulish" w:hAnsi="Mulish" w:cs="Mulish"/>
          <w:lang w:eastAsia="es-ES" w:bidi="es-ES"/>
        </w:rPr>
        <w:t>sin embargo</w:t>
      </w:r>
      <w:r w:rsidR="00D846D5">
        <w:rPr>
          <w:rFonts w:ascii="Mulish" w:eastAsia="Mulish" w:hAnsi="Mulish" w:cs="Mulish"/>
          <w:lang w:eastAsia="es-ES" w:bidi="es-ES"/>
        </w:rPr>
        <w:t>,</w:t>
      </w:r>
      <w:r w:rsidR="0021628E">
        <w:rPr>
          <w:rFonts w:ascii="Mulish" w:eastAsia="Mulish" w:hAnsi="Mulish" w:cs="Mulish"/>
          <w:lang w:eastAsia="es-ES" w:bidi="es-ES"/>
        </w:rPr>
        <w:t xml:space="preserve"> </w:t>
      </w:r>
      <w:r w:rsidRPr="002F5C99">
        <w:rPr>
          <w:rFonts w:ascii="Mulish" w:eastAsia="Mulish" w:hAnsi="Mulish" w:cs="Mulish"/>
          <w:lang w:eastAsia="es-ES" w:bidi="es-ES"/>
        </w:rPr>
        <w:t xml:space="preserve">la vigente ley no prevé un régimen </w:t>
      </w:r>
      <w:r w:rsidRPr="002F5C99">
        <w:rPr>
          <w:rFonts w:ascii="Mulish" w:eastAsia="Mulish" w:hAnsi="Mulish" w:cs="Mulish"/>
          <w:lang w:eastAsia="es-ES" w:bidi="es-ES"/>
        </w:rPr>
        <w:lastRenderedPageBreak/>
        <w:t>sancionador</w:t>
      </w:r>
      <w:r w:rsidR="0075157F" w:rsidRPr="002F5C99">
        <w:rPr>
          <w:rFonts w:ascii="Mulish" w:eastAsia="Mulish" w:hAnsi="Mulish" w:cs="Mulish"/>
          <w:lang w:eastAsia="es-ES" w:bidi="es-ES"/>
        </w:rPr>
        <w:t xml:space="preserve"> ni</w:t>
      </w:r>
      <w:r w:rsidRPr="002F5C99">
        <w:rPr>
          <w:rFonts w:ascii="Mulish" w:eastAsia="Mulish" w:hAnsi="Mulish" w:cs="Mulish"/>
          <w:lang w:eastAsia="es-ES" w:bidi="es-ES"/>
        </w:rPr>
        <w:t xml:space="preserve"> </w:t>
      </w:r>
      <w:r w:rsidR="0021628E">
        <w:rPr>
          <w:rFonts w:ascii="Mulish" w:eastAsia="Mulish" w:hAnsi="Mulish" w:cs="Mulish"/>
          <w:lang w:eastAsia="es-ES" w:bidi="es-ES"/>
        </w:rPr>
        <w:t xml:space="preserve">atribuye a los órganos garantes potestades </w:t>
      </w:r>
      <w:r w:rsidRPr="004478AA">
        <w:rPr>
          <w:rFonts w:ascii="Mulish" w:eastAsia="Mulish" w:hAnsi="Mulish" w:cs="Mulish"/>
          <w:lang w:eastAsia="es-ES" w:bidi="es-ES"/>
        </w:rPr>
        <w:t>coercitiv</w:t>
      </w:r>
      <w:r w:rsidR="0021628E">
        <w:rPr>
          <w:rFonts w:ascii="Mulish" w:eastAsia="Mulish" w:hAnsi="Mulish" w:cs="Mulish"/>
          <w:lang w:eastAsia="es-ES" w:bidi="es-ES"/>
        </w:rPr>
        <w:t>a</w:t>
      </w:r>
      <w:r w:rsidRPr="004478AA">
        <w:rPr>
          <w:rFonts w:ascii="Mulish" w:eastAsia="Mulish" w:hAnsi="Mulish" w:cs="Mulish"/>
          <w:lang w:eastAsia="es-ES" w:bidi="es-ES"/>
        </w:rPr>
        <w:t xml:space="preserve">s </w:t>
      </w:r>
      <w:r w:rsidR="0021628E">
        <w:rPr>
          <w:rFonts w:ascii="Mulish" w:eastAsia="Mulish" w:hAnsi="Mulish" w:cs="Mulish"/>
          <w:lang w:eastAsia="es-ES" w:bidi="es-ES"/>
        </w:rPr>
        <w:t xml:space="preserve">para garantizar la plena observancia de los mandatos legales. </w:t>
      </w:r>
    </w:p>
    <w:p w14:paraId="1E878152" w14:textId="4F78F769" w:rsidR="00D853F3" w:rsidRDefault="00D853F3" w:rsidP="00A251FA">
      <w:pPr>
        <w:spacing w:after="0"/>
        <w:jc w:val="both"/>
        <w:rPr>
          <w:rFonts w:ascii="Mulish" w:eastAsia="Mulish" w:hAnsi="Mulish" w:cs="Mulish"/>
          <w:color w:val="0C0C0C" w:themeColor="text1"/>
          <w:lang w:eastAsia="es-ES" w:bidi="es-ES"/>
        </w:rPr>
      </w:pPr>
    </w:p>
    <w:p w14:paraId="4981C3E4" w14:textId="431A89E8" w:rsidR="00597D3E" w:rsidRDefault="00597D3E" w:rsidP="00A251FA">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El listado completo de entidades analizadas y el grado de cumplimiento alcanzado figura al final de este documento.</w:t>
      </w:r>
    </w:p>
    <w:p w14:paraId="6C29690A" w14:textId="0BAF83B8" w:rsidR="00263AD5" w:rsidRDefault="00263AD5" w:rsidP="00A251FA">
      <w:pPr>
        <w:spacing w:after="0"/>
        <w:jc w:val="both"/>
        <w:rPr>
          <w:rFonts w:ascii="Mulish" w:eastAsia="Mulish" w:hAnsi="Mulish" w:cs="Mulish"/>
          <w:color w:val="0C0C0C" w:themeColor="text1"/>
          <w:lang w:eastAsia="es-ES" w:bidi="es-ES"/>
        </w:rPr>
      </w:pPr>
    </w:p>
    <w:p w14:paraId="675CF0A6" w14:textId="5600E571" w:rsidR="00263AD5" w:rsidRPr="00A251FA" w:rsidRDefault="00263AD5" w:rsidP="00A251FA">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 xml:space="preserve">En este </w:t>
      </w:r>
      <w:hyperlink r:id="rId8" w:history="1">
        <w:r w:rsidRPr="00BD132C">
          <w:rPr>
            <w:rStyle w:val="Hipervnculo"/>
            <w:rFonts w:ascii="Mulish" w:eastAsia="Mulish" w:hAnsi="Mulish" w:cs="Mulish"/>
            <w:b/>
            <w:bCs/>
            <w:lang w:eastAsia="es-ES" w:bidi="es-ES"/>
          </w:rPr>
          <w:t>enlace</w:t>
        </w:r>
      </w:hyperlink>
      <w:r>
        <w:rPr>
          <w:rFonts w:ascii="Mulish" w:eastAsia="Mulish" w:hAnsi="Mulish" w:cs="Mulish"/>
          <w:color w:val="0C0C0C" w:themeColor="text1"/>
          <w:lang w:eastAsia="es-ES" w:bidi="es-ES"/>
        </w:rPr>
        <w:t xml:space="preserve"> se puede acceder a todos los informes. </w:t>
      </w:r>
    </w:p>
    <w:p w14:paraId="623B5782" w14:textId="77777777" w:rsidR="00A251FA" w:rsidRPr="00A251FA" w:rsidRDefault="00A251FA" w:rsidP="00A251FA">
      <w:pPr>
        <w:spacing w:after="0"/>
        <w:jc w:val="both"/>
        <w:rPr>
          <w:rFonts w:ascii="Mulish" w:eastAsia="Mulish" w:hAnsi="Mulish" w:cs="Mulish"/>
          <w:color w:val="0C0C0C" w:themeColor="text1"/>
          <w:lang w:eastAsia="es-ES" w:bidi="es-ES"/>
        </w:rPr>
      </w:pPr>
    </w:p>
    <w:p w14:paraId="6AD4305D" w14:textId="77777777" w:rsidR="00A251FA" w:rsidRPr="005E34BF" w:rsidRDefault="00A251FA" w:rsidP="00A251FA">
      <w:pPr>
        <w:spacing w:after="0"/>
        <w:jc w:val="both"/>
        <w:rPr>
          <w:rFonts w:ascii="Mulish" w:eastAsia="Mulish" w:hAnsi="Mulish" w:cs="Mulish"/>
          <w:b/>
          <w:bCs/>
          <w:color w:val="00806F" w:themeColor="text2"/>
          <w:lang w:eastAsia="es-ES" w:bidi="es-ES"/>
        </w:rPr>
      </w:pPr>
      <w:bookmarkStart w:id="0" w:name="_Hlk180147169"/>
      <w:r w:rsidRPr="005E34BF">
        <w:rPr>
          <w:rFonts w:ascii="Mulish" w:eastAsia="Mulish" w:hAnsi="Mulish" w:cs="Mulish"/>
          <w:b/>
          <w:bCs/>
          <w:color w:val="00806F" w:themeColor="text2"/>
          <w:lang w:eastAsia="es-ES" w:bidi="es-ES"/>
        </w:rPr>
        <w:t>¿Qué entidades privadas tienen obligaciones de publicidad activa según la Ley de transparencia?</w:t>
      </w:r>
    </w:p>
    <w:p w14:paraId="69504FA7" w14:textId="77777777" w:rsidR="00A251FA" w:rsidRPr="00A251FA" w:rsidRDefault="00A251FA" w:rsidP="00A251FA">
      <w:pPr>
        <w:spacing w:after="0"/>
        <w:jc w:val="both"/>
        <w:rPr>
          <w:rFonts w:ascii="Mulish" w:eastAsia="Mulish" w:hAnsi="Mulish" w:cs="Mulish"/>
          <w:color w:val="0C0C0C" w:themeColor="text1"/>
          <w:lang w:eastAsia="es-ES" w:bidi="es-ES"/>
        </w:rPr>
      </w:pPr>
    </w:p>
    <w:p w14:paraId="490C9ADA" w14:textId="4A98C63F" w:rsidR="00A251FA" w:rsidRDefault="00A251FA" w:rsidP="00A251FA">
      <w:pPr>
        <w:spacing w:after="0"/>
        <w:jc w:val="both"/>
        <w:rPr>
          <w:rFonts w:ascii="Mulish" w:eastAsia="Mulish" w:hAnsi="Mulish" w:cs="Mulish"/>
          <w:color w:val="0C0C0C" w:themeColor="text1"/>
          <w:lang w:eastAsia="es-ES" w:bidi="es-ES"/>
        </w:rPr>
      </w:pPr>
      <w:r w:rsidRPr="00A251FA">
        <w:rPr>
          <w:rFonts w:ascii="Mulish" w:eastAsia="Mulish" w:hAnsi="Mulish" w:cs="Mulish"/>
          <w:color w:val="0C0C0C" w:themeColor="text1"/>
          <w:lang w:eastAsia="es-ES" w:bidi="es-ES"/>
        </w:rPr>
        <w:t xml:space="preserve">La Ley de </w:t>
      </w:r>
      <w:r w:rsidR="0061623C">
        <w:rPr>
          <w:rFonts w:ascii="Mulish" w:eastAsia="Mulish" w:hAnsi="Mulish" w:cs="Mulish"/>
          <w:color w:val="0C0C0C" w:themeColor="text1"/>
          <w:lang w:eastAsia="es-ES" w:bidi="es-ES"/>
        </w:rPr>
        <w:t>T</w:t>
      </w:r>
      <w:r w:rsidRPr="00A251FA">
        <w:rPr>
          <w:rFonts w:ascii="Mulish" w:eastAsia="Mulish" w:hAnsi="Mulish" w:cs="Mulish"/>
          <w:color w:val="0C0C0C" w:themeColor="text1"/>
          <w:lang w:eastAsia="es-ES" w:bidi="es-ES"/>
        </w:rPr>
        <w:t xml:space="preserve">ransparencia establece obligaciones de publicidad activa para los órganos y organismos del sector público, pero también para las entidades privadas que reciben un determinado volumen de ayudas o subvenciones públicas. En concreto, </w:t>
      </w:r>
      <w:r w:rsidR="00EE3859">
        <w:rPr>
          <w:rFonts w:ascii="Mulish" w:eastAsia="Mulish" w:hAnsi="Mulish" w:cs="Mulish"/>
          <w:color w:val="0C0C0C" w:themeColor="text1"/>
          <w:lang w:eastAsia="es-ES" w:bidi="es-ES"/>
        </w:rPr>
        <w:t>par</w:t>
      </w:r>
      <w:r w:rsidR="0061623C">
        <w:rPr>
          <w:rFonts w:ascii="Mulish" w:eastAsia="Mulish" w:hAnsi="Mulish" w:cs="Mulish"/>
          <w:color w:val="0C0C0C" w:themeColor="text1"/>
          <w:lang w:eastAsia="es-ES" w:bidi="es-ES"/>
        </w:rPr>
        <w:t xml:space="preserve">a </w:t>
      </w:r>
      <w:r w:rsidRPr="00A251FA">
        <w:rPr>
          <w:rFonts w:ascii="Mulish" w:eastAsia="Mulish" w:hAnsi="Mulish" w:cs="Mulish"/>
          <w:color w:val="0C0C0C" w:themeColor="text1"/>
          <w:lang w:eastAsia="es-ES" w:bidi="es-ES"/>
        </w:rPr>
        <w:t>las entidades privadas que perciban durante el período de un año ayudas o subvenciones públicas en una cuantía superior a 100.000 euros o cuando al menos el 40 % del total de sus ingresos anuales tengan carácter de ayuda o subvención pública, siempre que alcancen como mínimo la cantidad de 5.000 euros.</w:t>
      </w:r>
    </w:p>
    <w:bookmarkEnd w:id="0"/>
    <w:p w14:paraId="6040E08B" w14:textId="33F30C2A" w:rsidR="005B7B5A" w:rsidRDefault="005B7B5A" w:rsidP="00A251FA">
      <w:pPr>
        <w:spacing w:after="0"/>
        <w:jc w:val="both"/>
        <w:rPr>
          <w:rFonts w:ascii="Mulish" w:eastAsia="Mulish" w:hAnsi="Mulish" w:cs="Mulish"/>
          <w:color w:val="0C0C0C" w:themeColor="text1"/>
          <w:lang w:eastAsia="es-ES" w:bidi="es-ES"/>
        </w:rPr>
      </w:pPr>
    </w:p>
    <w:p w14:paraId="73704D91" w14:textId="77777777" w:rsidR="005B7B5A" w:rsidRPr="00597D3E" w:rsidRDefault="005B7B5A" w:rsidP="005B7B5A">
      <w:pPr>
        <w:spacing w:after="0"/>
        <w:jc w:val="both"/>
        <w:rPr>
          <w:rFonts w:ascii="Mulish" w:eastAsia="Mulish" w:hAnsi="Mulish" w:cs="Mulish"/>
          <w:b/>
          <w:bCs/>
          <w:color w:val="0C0C0C" w:themeColor="text1"/>
          <w:lang w:eastAsia="es-ES" w:bidi="es-ES"/>
        </w:rPr>
      </w:pPr>
      <w:r w:rsidRPr="005E34BF">
        <w:rPr>
          <w:rFonts w:ascii="Mulish" w:eastAsia="Mulish" w:hAnsi="Mulish" w:cs="Mulish"/>
          <w:b/>
          <w:bCs/>
          <w:color w:val="00806F" w:themeColor="text2"/>
          <w:lang w:eastAsia="es-ES" w:bidi="es-ES"/>
        </w:rPr>
        <w:t xml:space="preserve">¿Cómo realiza la evaluación el Consejo? </w:t>
      </w:r>
    </w:p>
    <w:p w14:paraId="365C9D67" w14:textId="77777777" w:rsidR="005B7B5A" w:rsidRPr="00A251FA" w:rsidRDefault="005B7B5A" w:rsidP="005B7B5A">
      <w:pPr>
        <w:spacing w:after="0"/>
        <w:jc w:val="both"/>
        <w:rPr>
          <w:rFonts w:ascii="Mulish" w:eastAsia="Mulish" w:hAnsi="Mulish" w:cs="Mulish"/>
          <w:color w:val="0C0C0C" w:themeColor="text1"/>
          <w:lang w:eastAsia="es-ES" w:bidi="es-ES"/>
        </w:rPr>
      </w:pPr>
    </w:p>
    <w:p w14:paraId="1A0F3749" w14:textId="6BC2B413" w:rsidR="005B7B5A" w:rsidRDefault="005B7B5A" w:rsidP="005B7B5A">
      <w:pPr>
        <w:spacing w:after="0"/>
        <w:jc w:val="both"/>
        <w:rPr>
          <w:rFonts w:ascii="Mulish" w:eastAsia="Mulish" w:hAnsi="Mulish" w:cs="Mulish"/>
          <w:color w:val="0C0C0C" w:themeColor="text1"/>
          <w:lang w:eastAsia="es-ES" w:bidi="es-ES"/>
        </w:rPr>
      </w:pPr>
      <w:r w:rsidRPr="00A251FA">
        <w:rPr>
          <w:rFonts w:ascii="Mulish" w:eastAsia="Mulish" w:hAnsi="Mulish" w:cs="Mulish"/>
          <w:color w:val="0C0C0C" w:themeColor="text1"/>
          <w:lang w:eastAsia="es-ES" w:bidi="es-ES"/>
        </w:rPr>
        <w:t xml:space="preserve">La evaluación se realiza con recursos propios y utilizando la metodología MESTA, desarrollada por el Consejo y por la extinta Agencia </w:t>
      </w:r>
      <w:r w:rsidR="0006025B">
        <w:rPr>
          <w:rFonts w:ascii="Mulish" w:eastAsia="Mulish" w:hAnsi="Mulish" w:cs="Mulish"/>
          <w:color w:val="0C0C0C" w:themeColor="text1"/>
          <w:lang w:eastAsia="es-ES" w:bidi="es-ES"/>
        </w:rPr>
        <w:t xml:space="preserve">Estatal </w:t>
      </w:r>
      <w:r w:rsidRPr="00A251FA">
        <w:rPr>
          <w:rFonts w:ascii="Mulish" w:eastAsia="Mulish" w:hAnsi="Mulish" w:cs="Mulish"/>
          <w:color w:val="0C0C0C" w:themeColor="text1"/>
          <w:lang w:eastAsia="es-ES" w:bidi="es-ES"/>
        </w:rPr>
        <w:t xml:space="preserve">de Evaluación de las Políticas Públicas </w:t>
      </w:r>
      <w:r w:rsidRPr="00C27BA6">
        <w:rPr>
          <w:rFonts w:ascii="Mulish" w:eastAsia="Mulish" w:hAnsi="Mulish" w:cs="Mulish"/>
          <w:color w:val="0C0C0C" w:themeColor="text1"/>
          <w:lang w:eastAsia="es-ES" w:bidi="es-ES"/>
        </w:rPr>
        <w:t xml:space="preserve">y de la Calidad de los Servicios </w:t>
      </w:r>
      <w:r w:rsidRPr="00A251FA">
        <w:rPr>
          <w:rFonts w:ascii="Mulish" w:eastAsia="Mulish" w:hAnsi="Mulish" w:cs="Mulish"/>
          <w:color w:val="0C0C0C" w:themeColor="text1"/>
          <w:lang w:eastAsia="es-ES" w:bidi="es-ES"/>
        </w:rPr>
        <w:t xml:space="preserve">(AEVAL). El Consejo emite un informe individual para cada una de las entidades evaluadas, en el que recoge recomendaciones concretas que permitan a las entidades mejorar su índice de cumplimiento. Además, elabora un informe agregado con los principales datos y conclusiones extraídos. Todos estos informes, así como los informes de contestación a las observaciones efectuadas por las entidades que han formulado alegaciones a los informes provisionales de evaluación, pueden consultarse en la </w:t>
      </w:r>
      <w:hyperlink r:id="rId9" w:history="1">
        <w:r w:rsidRPr="00D846D5">
          <w:rPr>
            <w:rStyle w:val="Hipervnculo"/>
            <w:rFonts w:ascii="Mulish" w:eastAsia="Mulish" w:hAnsi="Mulish" w:cs="Mulish"/>
            <w:lang w:eastAsia="es-ES" w:bidi="es-ES"/>
          </w:rPr>
          <w:t>página web del Consejo</w:t>
        </w:r>
      </w:hyperlink>
      <w:r w:rsidRPr="00D846D5">
        <w:rPr>
          <w:rFonts w:ascii="Mulish" w:eastAsia="Mulish" w:hAnsi="Mulish" w:cs="Mulish"/>
          <w:color w:val="0C0C0C" w:themeColor="text1"/>
          <w:lang w:eastAsia="es-ES" w:bidi="es-ES"/>
        </w:rPr>
        <w:t>.</w:t>
      </w:r>
      <w:r w:rsidRPr="00A251FA">
        <w:rPr>
          <w:rFonts w:ascii="Mulish" w:eastAsia="Mulish" w:hAnsi="Mulish" w:cs="Mulish"/>
          <w:color w:val="0C0C0C" w:themeColor="text1"/>
          <w:lang w:eastAsia="es-ES" w:bidi="es-ES"/>
        </w:rPr>
        <w:t xml:space="preserve"> </w:t>
      </w:r>
    </w:p>
    <w:p w14:paraId="15CC2DEF" w14:textId="550AD8BA" w:rsidR="00CD7D42" w:rsidRDefault="00CD7D42" w:rsidP="005B7B5A">
      <w:pPr>
        <w:spacing w:after="0"/>
        <w:jc w:val="both"/>
        <w:rPr>
          <w:rFonts w:ascii="Mulish" w:eastAsia="Mulish" w:hAnsi="Mulish" w:cs="Mulish"/>
          <w:color w:val="0C0C0C" w:themeColor="text1"/>
          <w:lang w:eastAsia="es-ES" w:bidi="es-ES"/>
        </w:rPr>
      </w:pPr>
    </w:p>
    <w:p w14:paraId="1C294C89" w14:textId="34A941D0" w:rsidR="00CD7D42" w:rsidRPr="00A251FA" w:rsidRDefault="00CD7D42" w:rsidP="005B7B5A">
      <w:pPr>
        <w:spacing w:after="0"/>
        <w:jc w:val="both"/>
        <w:rPr>
          <w:rFonts w:ascii="Mulish" w:eastAsia="Mulish" w:hAnsi="Mulish" w:cs="Mulish"/>
          <w:color w:val="0C0C0C" w:themeColor="text1"/>
          <w:lang w:eastAsia="es-ES" w:bidi="es-ES"/>
        </w:rPr>
      </w:pPr>
      <w:r w:rsidRPr="004478AA">
        <w:rPr>
          <w:rFonts w:ascii="Mulish" w:eastAsia="Mulish" w:hAnsi="Mulish" w:cs="Mulish"/>
          <w:b/>
          <w:bCs/>
          <w:color w:val="0C0C0C" w:themeColor="text1"/>
          <w:lang w:eastAsia="es-ES" w:bidi="es-ES"/>
        </w:rPr>
        <w:t xml:space="preserve">En 2025, el Consejo ha evaluado el cumplimiento en transparencia activa de un total de </w:t>
      </w:r>
      <w:r w:rsidR="00F713CA" w:rsidRPr="004478AA">
        <w:rPr>
          <w:rFonts w:ascii="Mulish" w:eastAsia="Mulish" w:hAnsi="Mulish" w:cs="Mulish"/>
          <w:b/>
          <w:bCs/>
          <w:color w:val="0C0C0C" w:themeColor="text1"/>
          <w:lang w:eastAsia="es-ES" w:bidi="es-ES"/>
        </w:rPr>
        <w:t xml:space="preserve">392 </w:t>
      </w:r>
      <w:r w:rsidRPr="004478AA">
        <w:rPr>
          <w:rFonts w:ascii="Mulish" w:eastAsia="Mulish" w:hAnsi="Mulish" w:cs="Mulish"/>
          <w:b/>
          <w:bCs/>
          <w:color w:val="0C0C0C" w:themeColor="text1"/>
          <w:lang w:eastAsia="es-ES" w:bidi="es-ES"/>
        </w:rPr>
        <w:t>entidades</w:t>
      </w:r>
      <w:r>
        <w:rPr>
          <w:rFonts w:ascii="Mulish" w:eastAsia="Mulish" w:hAnsi="Mulish" w:cs="Mulish"/>
          <w:color w:val="0C0C0C" w:themeColor="text1"/>
          <w:lang w:eastAsia="es-ES" w:bidi="es-ES"/>
        </w:rPr>
        <w:t xml:space="preserve"> de distintos grupos de sujetos obligados: entidades del sector público institucional estatal, corporaciones de derecho público y entidades privadas perceptora</w:t>
      </w:r>
      <w:r w:rsidR="00164398">
        <w:rPr>
          <w:rFonts w:ascii="Mulish" w:eastAsia="Mulish" w:hAnsi="Mulish" w:cs="Mulish"/>
          <w:color w:val="0C0C0C" w:themeColor="text1"/>
          <w:lang w:eastAsia="es-ES" w:bidi="es-ES"/>
        </w:rPr>
        <w:t xml:space="preserve">s </w:t>
      </w:r>
      <w:r>
        <w:rPr>
          <w:rFonts w:ascii="Mulish" w:eastAsia="Mulish" w:hAnsi="Mulish" w:cs="Mulish"/>
          <w:color w:val="0C0C0C" w:themeColor="text1"/>
          <w:lang w:eastAsia="es-ES" w:bidi="es-ES"/>
        </w:rPr>
        <w:t xml:space="preserve">de subvenciones. </w:t>
      </w:r>
      <w:r w:rsidR="00164398">
        <w:rPr>
          <w:rFonts w:ascii="Mulish" w:eastAsia="Mulish" w:hAnsi="Mulish" w:cs="Mulish"/>
          <w:color w:val="0C0C0C" w:themeColor="text1"/>
          <w:lang w:eastAsia="es-ES" w:bidi="es-ES"/>
        </w:rPr>
        <w:t xml:space="preserve">Esto supone una </w:t>
      </w:r>
      <w:r w:rsidR="00164398" w:rsidRPr="004478AA">
        <w:rPr>
          <w:rFonts w:ascii="Mulish" w:eastAsia="Mulish" w:hAnsi="Mulish" w:cs="Mulish"/>
          <w:b/>
          <w:bCs/>
          <w:color w:val="0C0C0C" w:themeColor="text1"/>
          <w:lang w:eastAsia="es-ES" w:bidi="es-ES"/>
        </w:rPr>
        <w:t>cifra récord en el número de entidades evaluadas por la institución en un ejercicio</w:t>
      </w:r>
      <w:r w:rsidR="00164398">
        <w:rPr>
          <w:rFonts w:ascii="Mulish" w:eastAsia="Mulish" w:hAnsi="Mulish" w:cs="Mulish"/>
          <w:color w:val="0C0C0C" w:themeColor="text1"/>
          <w:lang w:eastAsia="es-ES" w:bidi="es-ES"/>
        </w:rPr>
        <w:t xml:space="preserve">. </w:t>
      </w:r>
    </w:p>
    <w:p w14:paraId="54C8AE34" w14:textId="77777777" w:rsidR="005B7B5A" w:rsidRPr="00A251FA" w:rsidRDefault="005B7B5A" w:rsidP="005B7B5A">
      <w:pPr>
        <w:spacing w:after="0"/>
        <w:jc w:val="both"/>
        <w:rPr>
          <w:rFonts w:ascii="Mulish" w:eastAsia="Mulish" w:hAnsi="Mulish" w:cs="Mulish"/>
          <w:color w:val="0C0C0C" w:themeColor="text1"/>
          <w:lang w:eastAsia="es-ES" w:bidi="es-ES"/>
        </w:rPr>
      </w:pPr>
    </w:p>
    <w:p w14:paraId="5DD1254E" w14:textId="57C04FAE" w:rsidR="00A251FA" w:rsidRDefault="005B7B5A" w:rsidP="0093132C">
      <w:pPr>
        <w:spacing w:after="0"/>
        <w:jc w:val="both"/>
        <w:rPr>
          <w:rFonts w:ascii="Mulish" w:eastAsia="Mulish" w:hAnsi="Mulish" w:cs="Mulish"/>
          <w:b/>
          <w:bCs/>
          <w:color w:val="00806F" w:themeColor="text2"/>
          <w:lang w:eastAsia="es-ES" w:bidi="es-ES"/>
        </w:rPr>
      </w:pPr>
      <w:r w:rsidRPr="005B7B5A">
        <w:rPr>
          <w:rFonts w:ascii="Mulish" w:eastAsia="Mulish" w:hAnsi="Mulish" w:cs="Mulish"/>
          <w:b/>
          <w:bCs/>
          <w:color w:val="00806F" w:themeColor="text2"/>
          <w:lang w:eastAsia="es-ES" w:bidi="es-ES"/>
        </w:rPr>
        <w:t>Índices de Cumplimiento de la Información Obligatoria en 202</w:t>
      </w:r>
      <w:r w:rsidR="0061623C">
        <w:rPr>
          <w:rFonts w:ascii="Mulish" w:eastAsia="Mulish" w:hAnsi="Mulish" w:cs="Mulish"/>
          <w:b/>
          <w:bCs/>
          <w:color w:val="00806F" w:themeColor="text2"/>
          <w:lang w:eastAsia="es-ES" w:bidi="es-ES"/>
        </w:rPr>
        <w:t>5</w:t>
      </w:r>
    </w:p>
    <w:p w14:paraId="36A0C8F1" w14:textId="77777777" w:rsidR="005B7B5A" w:rsidRPr="005B7B5A" w:rsidRDefault="005B7B5A" w:rsidP="0093132C">
      <w:pPr>
        <w:spacing w:after="0"/>
        <w:jc w:val="both"/>
        <w:rPr>
          <w:rFonts w:ascii="Mulish" w:eastAsia="Mulish" w:hAnsi="Mulish" w:cs="Mulish"/>
          <w:b/>
          <w:bCs/>
          <w:color w:val="00806F" w:themeColor="text2"/>
          <w:lang w:eastAsia="es-ES" w:bidi="es-ES"/>
        </w:rPr>
      </w:pPr>
    </w:p>
    <w:p w14:paraId="03744021" w14:textId="2FBC361E" w:rsidR="0061623C" w:rsidRDefault="0061623C" w:rsidP="00AA0900">
      <w:pPr>
        <w:spacing w:after="0"/>
        <w:jc w:val="both"/>
        <w:rPr>
          <w:rFonts w:ascii="Mulish" w:eastAsia="Mulish" w:hAnsi="Mulish" w:cs="Mulish"/>
          <w:color w:val="0C0C0C" w:themeColor="text1"/>
          <w:lang w:eastAsia="es-ES" w:bidi="es-ES"/>
        </w:rPr>
      </w:pPr>
      <w:r w:rsidRPr="0061623C">
        <w:rPr>
          <w:rFonts w:ascii="Mulish" w:eastAsia="Mulish" w:hAnsi="Mulish" w:cs="Mulish"/>
          <w:color w:val="0C0C0C" w:themeColor="text1"/>
          <w:lang w:eastAsia="es-ES" w:bidi="es-ES"/>
        </w:rPr>
        <w:t xml:space="preserve">A continuación figura </w:t>
      </w:r>
      <w:r w:rsidR="00D2326B">
        <w:rPr>
          <w:rFonts w:ascii="Mulish" w:eastAsia="Mulish" w:hAnsi="Mulish" w:cs="Mulish"/>
          <w:color w:val="0C0C0C" w:themeColor="text1"/>
          <w:lang w:eastAsia="es-ES" w:bidi="es-ES"/>
        </w:rPr>
        <w:t xml:space="preserve">una tabla con </w:t>
      </w:r>
      <w:r w:rsidRPr="0061623C">
        <w:rPr>
          <w:rFonts w:ascii="Mulish" w:eastAsia="Mulish" w:hAnsi="Mulish" w:cs="Mulish"/>
          <w:color w:val="0C0C0C" w:themeColor="text1"/>
          <w:lang w:eastAsia="es-ES" w:bidi="es-ES"/>
        </w:rPr>
        <w:t xml:space="preserve">el </w:t>
      </w:r>
      <w:r w:rsidR="00D2326B">
        <w:rPr>
          <w:rFonts w:ascii="Mulish" w:eastAsia="Mulish" w:hAnsi="Mulish" w:cs="Mulish"/>
          <w:color w:val="0C0C0C" w:themeColor="text1"/>
          <w:lang w:eastAsia="es-ES" w:bidi="es-ES"/>
        </w:rPr>
        <w:t>ICIO</w:t>
      </w:r>
      <w:r w:rsidRPr="0061623C">
        <w:rPr>
          <w:rFonts w:ascii="Mulish" w:eastAsia="Mulish" w:hAnsi="Mulish" w:cs="Mulish"/>
          <w:color w:val="0C0C0C" w:themeColor="text1"/>
          <w:lang w:eastAsia="es-ES" w:bidi="es-ES"/>
        </w:rPr>
        <w:t xml:space="preserve"> alcanzado por cada </w:t>
      </w:r>
      <w:r w:rsidR="00D846D5">
        <w:rPr>
          <w:rFonts w:ascii="Mulish" w:eastAsia="Mulish" w:hAnsi="Mulish" w:cs="Mulish"/>
          <w:color w:val="0C0C0C" w:themeColor="text1"/>
          <w:lang w:eastAsia="es-ES" w:bidi="es-ES"/>
        </w:rPr>
        <w:t xml:space="preserve">una de las 84 </w:t>
      </w:r>
      <w:r>
        <w:rPr>
          <w:rFonts w:ascii="Mulish" w:eastAsia="Mulish" w:hAnsi="Mulish" w:cs="Mulish"/>
          <w:color w:val="0C0C0C" w:themeColor="text1"/>
          <w:lang w:eastAsia="es-ES" w:bidi="es-ES"/>
        </w:rPr>
        <w:t>entidad</w:t>
      </w:r>
      <w:r w:rsidR="00D846D5">
        <w:rPr>
          <w:rFonts w:ascii="Mulish" w:eastAsia="Mulish" w:hAnsi="Mulish" w:cs="Mulish"/>
          <w:color w:val="0C0C0C" w:themeColor="text1"/>
          <w:lang w:eastAsia="es-ES" w:bidi="es-ES"/>
        </w:rPr>
        <w:t>es privadas</w:t>
      </w:r>
      <w:r w:rsidRPr="0061623C">
        <w:rPr>
          <w:rFonts w:ascii="Mulish" w:eastAsia="Mulish" w:hAnsi="Mulish" w:cs="Mulish"/>
          <w:color w:val="0C0C0C" w:themeColor="text1"/>
          <w:lang w:eastAsia="es-ES" w:bidi="es-ES"/>
        </w:rPr>
        <w:t xml:space="preserve"> en 2025, así como el que obtuvo </w:t>
      </w:r>
      <w:r w:rsidR="00EE3859">
        <w:rPr>
          <w:rFonts w:ascii="Mulish" w:eastAsia="Mulish" w:hAnsi="Mulish" w:cs="Mulish"/>
          <w:color w:val="0C0C0C" w:themeColor="text1"/>
          <w:lang w:eastAsia="es-ES" w:bidi="es-ES"/>
        </w:rPr>
        <w:t xml:space="preserve">(en su caso) </w:t>
      </w:r>
      <w:r w:rsidRPr="0061623C">
        <w:rPr>
          <w:rFonts w:ascii="Mulish" w:eastAsia="Mulish" w:hAnsi="Mulish" w:cs="Mulish"/>
          <w:color w:val="0C0C0C" w:themeColor="text1"/>
          <w:lang w:eastAsia="es-ES" w:bidi="es-ES"/>
        </w:rPr>
        <w:t>en la primera evaluación realizada en 2024, el número de recomendaciones efectuadas</w:t>
      </w:r>
      <w:r w:rsidR="00D2326B">
        <w:rPr>
          <w:rFonts w:ascii="Mulish" w:eastAsia="Mulish" w:hAnsi="Mulish" w:cs="Mulish"/>
          <w:color w:val="0C0C0C" w:themeColor="text1"/>
          <w:lang w:eastAsia="es-ES" w:bidi="es-ES"/>
        </w:rPr>
        <w:t xml:space="preserve"> por el Consejo</w:t>
      </w:r>
      <w:r w:rsidRPr="0061623C">
        <w:rPr>
          <w:rFonts w:ascii="Mulish" w:eastAsia="Mulish" w:hAnsi="Mulish" w:cs="Mulish"/>
          <w:color w:val="0C0C0C" w:themeColor="text1"/>
          <w:lang w:eastAsia="es-ES" w:bidi="es-ES"/>
        </w:rPr>
        <w:t xml:space="preserve"> en aquella evaluación y el número de recomendaciones que </w:t>
      </w:r>
      <w:r w:rsidR="00D2326B">
        <w:rPr>
          <w:rFonts w:ascii="Mulish" w:eastAsia="Mulish" w:hAnsi="Mulish" w:cs="Mulish"/>
          <w:color w:val="0C0C0C" w:themeColor="text1"/>
          <w:lang w:eastAsia="es-ES" w:bidi="es-ES"/>
        </w:rPr>
        <w:t>la entidad ha</w:t>
      </w:r>
      <w:r w:rsidRPr="0061623C">
        <w:rPr>
          <w:rFonts w:ascii="Mulish" w:eastAsia="Mulish" w:hAnsi="Mulish" w:cs="Mulish"/>
          <w:color w:val="0C0C0C" w:themeColor="text1"/>
          <w:lang w:eastAsia="es-ES" w:bidi="es-ES"/>
        </w:rPr>
        <w:t xml:space="preserve"> aplicado.</w:t>
      </w:r>
      <w:r w:rsidR="002D68A9">
        <w:rPr>
          <w:rFonts w:ascii="Mulish" w:eastAsia="Mulish" w:hAnsi="Mulish" w:cs="Mulish"/>
          <w:color w:val="0C0C0C" w:themeColor="text1"/>
          <w:lang w:eastAsia="es-ES" w:bidi="es-ES"/>
        </w:rPr>
        <w:t xml:space="preserve"> El listado está ordenado en función del ICIO obtenido en la evaluación de 2025. </w:t>
      </w:r>
    </w:p>
    <w:p w14:paraId="58AE5659" w14:textId="11A6452A" w:rsidR="0061623C" w:rsidRDefault="0061623C" w:rsidP="00AA0900">
      <w:pPr>
        <w:spacing w:after="0"/>
        <w:jc w:val="both"/>
        <w:rPr>
          <w:rFonts w:ascii="Mulish" w:eastAsia="Mulish" w:hAnsi="Mulish" w:cs="Mulish"/>
          <w:color w:val="0C0C0C" w:themeColor="text1"/>
          <w:lang w:eastAsia="es-ES" w:bidi="es-ES"/>
        </w:rPr>
      </w:pPr>
    </w:p>
    <w:tbl>
      <w:tblPr>
        <w:tblStyle w:val="Tablaconcuadrcula4-nfasis3"/>
        <w:tblW w:w="9918" w:type="dxa"/>
        <w:tblLayout w:type="fixed"/>
        <w:tblLook w:val="04A0" w:firstRow="1" w:lastRow="0" w:firstColumn="1" w:lastColumn="0" w:noHBand="0" w:noVBand="1"/>
      </w:tblPr>
      <w:tblGrid>
        <w:gridCol w:w="2122"/>
        <w:gridCol w:w="1275"/>
        <w:gridCol w:w="1560"/>
        <w:gridCol w:w="1842"/>
        <w:gridCol w:w="1560"/>
        <w:gridCol w:w="1559"/>
      </w:tblGrid>
      <w:tr w:rsidR="005412C5" w:rsidRPr="00561A62" w14:paraId="01B0DAD0" w14:textId="77777777" w:rsidTr="00CD3EBC">
        <w:trPr>
          <w:cnfStyle w:val="100000000000" w:firstRow="1" w:lastRow="0" w:firstColumn="0" w:lastColumn="0" w:oddVBand="0" w:evenVBand="0" w:oddHBand="0" w:evenHBand="0" w:firstRowFirstColumn="0" w:firstRowLastColumn="0" w:lastRowFirstColumn="0" w:lastRowLastColumn="0"/>
          <w:trHeight w:val="1290"/>
          <w:tblHeader/>
        </w:trPr>
        <w:tc>
          <w:tcPr>
            <w:cnfStyle w:val="001000000000" w:firstRow="0" w:lastRow="0" w:firstColumn="1" w:lastColumn="0" w:oddVBand="0" w:evenVBand="0" w:oddHBand="0" w:evenHBand="0" w:firstRowFirstColumn="0" w:firstRowLastColumn="0" w:lastRowFirstColumn="0" w:lastRowLastColumn="0"/>
            <w:tcW w:w="2122" w:type="dxa"/>
            <w:shd w:val="clear" w:color="auto" w:fill="00806F"/>
            <w:noWrap/>
            <w:hideMark/>
          </w:tcPr>
          <w:p w14:paraId="3DEBE9B3" w14:textId="77777777" w:rsidR="005412C5" w:rsidRPr="009F51A6" w:rsidRDefault="005412C5" w:rsidP="00BB5F26">
            <w:pPr>
              <w:jc w:val="center"/>
              <w:rPr>
                <w:rFonts w:eastAsia="Times New Roman" w:cs="Calibri"/>
                <w:color w:val="FFFFFF"/>
                <w:sz w:val="16"/>
                <w:szCs w:val="16"/>
              </w:rPr>
            </w:pPr>
            <w:r w:rsidRPr="009F51A6">
              <w:rPr>
                <w:rFonts w:eastAsia="Times New Roman" w:cs="Calibri"/>
                <w:color w:val="FFFFFF"/>
                <w:sz w:val="16"/>
                <w:szCs w:val="16"/>
              </w:rPr>
              <w:t>Entidad</w:t>
            </w:r>
          </w:p>
        </w:tc>
        <w:tc>
          <w:tcPr>
            <w:tcW w:w="1275" w:type="dxa"/>
            <w:shd w:val="clear" w:color="auto" w:fill="00806F"/>
            <w:noWrap/>
            <w:hideMark/>
          </w:tcPr>
          <w:p w14:paraId="1E713F23" w14:textId="77777777" w:rsidR="005412C5" w:rsidRPr="009F51A6" w:rsidRDefault="005412C5" w:rsidP="00BB5F2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Cumplimiento</w:t>
            </w:r>
          </w:p>
        </w:tc>
        <w:tc>
          <w:tcPr>
            <w:tcW w:w="1560" w:type="dxa"/>
            <w:shd w:val="clear" w:color="auto" w:fill="00806F"/>
            <w:hideMark/>
          </w:tcPr>
          <w:p w14:paraId="798FE3A6" w14:textId="77777777" w:rsidR="005412C5" w:rsidRPr="009F51A6" w:rsidRDefault="005412C5" w:rsidP="00BB5F2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Diferencia respecto de 202</w:t>
            </w:r>
            <w:r>
              <w:rPr>
                <w:rFonts w:eastAsia="Times New Roman" w:cs="Calibri"/>
                <w:color w:val="FFFFFF"/>
                <w:sz w:val="16"/>
                <w:szCs w:val="16"/>
              </w:rPr>
              <w:t>4</w:t>
            </w:r>
            <w:r w:rsidRPr="009F51A6">
              <w:rPr>
                <w:rFonts w:eastAsia="Times New Roman" w:cs="Calibri"/>
                <w:color w:val="FFFFFF"/>
                <w:sz w:val="16"/>
                <w:szCs w:val="16"/>
              </w:rPr>
              <w:t xml:space="preserve"> (puntos porcentuales)</w:t>
            </w:r>
          </w:p>
        </w:tc>
        <w:tc>
          <w:tcPr>
            <w:tcW w:w="1842" w:type="dxa"/>
            <w:shd w:val="clear" w:color="auto" w:fill="00806F"/>
            <w:hideMark/>
          </w:tcPr>
          <w:p w14:paraId="201D5184" w14:textId="77777777" w:rsidR="005412C5" w:rsidRPr="009F51A6" w:rsidRDefault="005412C5" w:rsidP="00BB5F2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Recomendaciones efectuadas</w:t>
            </w:r>
          </w:p>
        </w:tc>
        <w:tc>
          <w:tcPr>
            <w:tcW w:w="1560" w:type="dxa"/>
            <w:shd w:val="clear" w:color="auto" w:fill="00806F"/>
            <w:hideMark/>
          </w:tcPr>
          <w:p w14:paraId="1FCCF252" w14:textId="77777777" w:rsidR="005412C5" w:rsidRPr="009F51A6" w:rsidRDefault="005412C5" w:rsidP="00BB5F2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Recomendaciones aplicadas</w:t>
            </w:r>
          </w:p>
        </w:tc>
        <w:tc>
          <w:tcPr>
            <w:tcW w:w="1559" w:type="dxa"/>
            <w:shd w:val="clear" w:color="auto" w:fill="00806F"/>
            <w:hideMark/>
          </w:tcPr>
          <w:p w14:paraId="14790491" w14:textId="77777777" w:rsidR="005412C5" w:rsidRPr="009F51A6" w:rsidRDefault="005412C5" w:rsidP="00BB5F2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16"/>
                <w:szCs w:val="16"/>
              </w:rPr>
            </w:pPr>
            <w:r w:rsidRPr="009F51A6">
              <w:rPr>
                <w:rFonts w:eastAsia="Times New Roman" w:cs="Calibri"/>
                <w:color w:val="FFFFFF"/>
                <w:sz w:val="16"/>
                <w:szCs w:val="16"/>
              </w:rPr>
              <w:t>Recomendaciones o mejoras implantadas durante el periodo de observaciones</w:t>
            </w:r>
          </w:p>
        </w:tc>
      </w:tr>
      <w:tr w:rsidR="005412C5" w:rsidRPr="00561A62" w14:paraId="1C9ED793" w14:textId="77777777" w:rsidTr="005412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8C71083"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Coordinadora de ONG para el desarrollo</w:t>
            </w:r>
          </w:p>
        </w:tc>
        <w:tc>
          <w:tcPr>
            <w:tcW w:w="1275" w:type="dxa"/>
            <w:noWrap/>
            <w:hideMark/>
          </w:tcPr>
          <w:p w14:paraId="07D15F37"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100</w:t>
            </w:r>
          </w:p>
        </w:tc>
        <w:tc>
          <w:tcPr>
            <w:tcW w:w="1560" w:type="dxa"/>
            <w:noWrap/>
            <w:hideMark/>
          </w:tcPr>
          <w:p w14:paraId="063E817F"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27,6</w:t>
            </w:r>
          </w:p>
        </w:tc>
        <w:tc>
          <w:tcPr>
            <w:tcW w:w="1842" w:type="dxa"/>
            <w:noWrap/>
            <w:hideMark/>
          </w:tcPr>
          <w:p w14:paraId="26FAA7AD"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11</w:t>
            </w:r>
          </w:p>
        </w:tc>
        <w:tc>
          <w:tcPr>
            <w:tcW w:w="1560" w:type="dxa"/>
            <w:noWrap/>
            <w:hideMark/>
          </w:tcPr>
          <w:p w14:paraId="78FF56B6"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11</w:t>
            </w:r>
          </w:p>
        </w:tc>
        <w:tc>
          <w:tcPr>
            <w:tcW w:w="1559" w:type="dxa"/>
            <w:noWrap/>
            <w:hideMark/>
          </w:tcPr>
          <w:p w14:paraId="76AE6D2A"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905E677"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4C0EADC"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Médicos del Mundo</w:t>
            </w:r>
          </w:p>
        </w:tc>
        <w:tc>
          <w:tcPr>
            <w:tcW w:w="1275" w:type="dxa"/>
            <w:noWrap/>
            <w:hideMark/>
          </w:tcPr>
          <w:p w14:paraId="47FEC63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100</w:t>
            </w:r>
          </w:p>
        </w:tc>
        <w:tc>
          <w:tcPr>
            <w:tcW w:w="1560" w:type="dxa"/>
            <w:noWrap/>
            <w:hideMark/>
          </w:tcPr>
          <w:p w14:paraId="140668EC"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28,6</w:t>
            </w:r>
          </w:p>
        </w:tc>
        <w:tc>
          <w:tcPr>
            <w:tcW w:w="1842" w:type="dxa"/>
            <w:noWrap/>
            <w:hideMark/>
          </w:tcPr>
          <w:p w14:paraId="54F3E9C5"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560" w:type="dxa"/>
            <w:noWrap/>
            <w:hideMark/>
          </w:tcPr>
          <w:p w14:paraId="2C5C01B6"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559" w:type="dxa"/>
            <w:noWrap/>
            <w:hideMark/>
          </w:tcPr>
          <w:p w14:paraId="60BA601B"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1BD21AC0"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22674A55" w14:textId="77777777" w:rsidR="005412C5" w:rsidRDefault="005412C5" w:rsidP="00BB5F26">
            <w:pPr>
              <w:rPr>
                <w:rFonts w:eastAsia="Times New Roman" w:cs="Calibri"/>
                <w:color w:val="000000"/>
                <w:sz w:val="16"/>
                <w:szCs w:val="16"/>
              </w:rPr>
            </w:pPr>
            <w:r w:rsidRPr="00561A62">
              <w:rPr>
                <w:rFonts w:eastAsia="Times New Roman" w:cs="Calibri"/>
                <w:color w:val="000000"/>
                <w:sz w:val="16"/>
                <w:szCs w:val="16"/>
              </w:rPr>
              <w:t>Real Federación Española de Tenis</w:t>
            </w:r>
          </w:p>
        </w:tc>
        <w:tc>
          <w:tcPr>
            <w:tcW w:w="1275" w:type="dxa"/>
            <w:noWrap/>
          </w:tcPr>
          <w:p w14:paraId="6F9B765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88,4</w:t>
            </w:r>
          </w:p>
        </w:tc>
        <w:tc>
          <w:tcPr>
            <w:tcW w:w="1560" w:type="dxa"/>
            <w:noWrap/>
          </w:tcPr>
          <w:p w14:paraId="3A1700A8"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36,6</w:t>
            </w:r>
          </w:p>
        </w:tc>
        <w:tc>
          <w:tcPr>
            <w:tcW w:w="1842" w:type="dxa"/>
            <w:noWrap/>
          </w:tcPr>
          <w:p w14:paraId="1F80F0FE"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560" w:type="dxa"/>
            <w:noWrap/>
          </w:tcPr>
          <w:p w14:paraId="30AA1073"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5</w:t>
            </w:r>
          </w:p>
        </w:tc>
        <w:tc>
          <w:tcPr>
            <w:tcW w:w="1559" w:type="dxa"/>
            <w:noWrap/>
          </w:tcPr>
          <w:p w14:paraId="0745CCE5"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7A7DFD99"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658FC02"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Asamblea de Cooperación por la Paz</w:t>
            </w:r>
          </w:p>
        </w:tc>
        <w:tc>
          <w:tcPr>
            <w:tcW w:w="1275" w:type="dxa"/>
            <w:noWrap/>
          </w:tcPr>
          <w:p w14:paraId="7EC8C4C5"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88.2</w:t>
            </w:r>
          </w:p>
        </w:tc>
        <w:tc>
          <w:tcPr>
            <w:tcW w:w="1560" w:type="dxa"/>
            <w:noWrap/>
          </w:tcPr>
          <w:p w14:paraId="7731B6EB"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30.7</w:t>
            </w:r>
          </w:p>
        </w:tc>
        <w:tc>
          <w:tcPr>
            <w:tcW w:w="1842" w:type="dxa"/>
            <w:noWrap/>
          </w:tcPr>
          <w:p w14:paraId="4943513A"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11</w:t>
            </w:r>
          </w:p>
        </w:tc>
        <w:tc>
          <w:tcPr>
            <w:tcW w:w="1560" w:type="dxa"/>
            <w:noWrap/>
          </w:tcPr>
          <w:p w14:paraId="369001A7"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559" w:type="dxa"/>
            <w:noWrap/>
          </w:tcPr>
          <w:p w14:paraId="4D9C268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B4EDAEE"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4E76D583"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Real Federación Española de Piragüismo</w:t>
            </w:r>
          </w:p>
        </w:tc>
        <w:tc>
          <w:tcPr>
            <w:tcW w:w="1275" w:type="dxa"/>
            <w:noWrap/>
          </w:tcPr>
          <w:p w14:paraId="3FE9D10A"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79,1</w:t>
            </w:r>
          </w:p>
        </w:tc>
        <w:tc>
          <w:tcPr>
            <w:tcW w:w="4962" w:type="dxa"/>
            <w:gridSpan w:val="3"/>
            <w:noWrap/>
          </w:tcPr>
          <w:p w14:paraId="08054D4B"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4E72F5D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r>
      <w:tr w:rsidR="005412C5" w:rsidRPr="00561A62" w14:paraId="4C9E452B"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0B31A66B"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Asociación Española Contra el Cáncer</w:t>
            </w:r>
          </w:p>
        </w:tc>
        <w:tc>
          <w:tcPr>
            <w:tcW w:w="1275" w:type="dxa"/>
            <w:noWrap/>
          </w:tcPr>
          <w:p w14:paraId="0ACA151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79</w:t>
            </w:r>
          </w:p>
        </w:tc>
        <w:tc>
          <w:tcPr>
            <w:tcW w:w="1560" w:type="dxa"/>
            <w:noWrap/>
          </w:tcPr>
          <w:p w14:paraId="0596D784"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8,2</w:t>
            </w:r>
          </w:p>
        </w:tc>
        <w:tc>
          <w:tcPr>
            <w:tcW w:w="1842" w:type="dxa"/>
            <w:noWrap/>
          </w:tcPr>
          <w:p w14:paraId="06D6881F"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6</w:t>
            </w:r>
          </w:p>
        </w:tc>
        <w:tc>
          <w:tcPr>
            <w:tcW w:w="1560" w:type="dxa"/>
            <w:noWrap/>
          </w:tcPr>
          <w:p w14:paraId="6F30C455"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c>
          <w:tcPr>
            <w:tcW w:w="1559" w:type="dxa"/>
            <w:noWrap/>
          </w:tcPr>
          <w:p w14:paraId="3CE8DE2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C3230FF"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ED070C3"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Plataforma de Organizaciones de Infancia</w:t>
            </w:r>
          </w:p>
        </w:tc>
        <w:tc>
          <w:tcPr>
            <w:tcW w:w="1275" w:type="dxa"/>
            <w:noWrap/>
          </w:tcPr>
          <w:p w14:paraId="4D82E97E"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72,7</w:t>
            </w:r>
          </w:p>
        </w:tc>
        <w:tc>
          <w:tcPr>
            <w:tcW w:w="1560" w:type="dxa"/>
            <w:noWrap/>
          </w:tcPr>
          <w:p w14:paraId="32445BF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19,6</w:t>
            </w:r>
          </w:p>
        </w:tc>
        <w:tc>
          <w:tcPr>
            <w:tcW w:w="1842" w:type="dxa"/>
            <w:noWrap/>
          </w:tcPr>
          <w:p w14:paraId="038900B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9</w:t>
            </w:r>
          </w:p>
        </w:tc>
        <w:tc>
          <w:tcPr>
            <w:tcW w:w="1560" w:type="dxa"/>
            <w:noWrap/>
          </w:tcPr>
          <w:p w14:paraId="39EDABE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559" w:type="dxa"/>
            <w:noWrap/>
          </w:tcPr>
          <w:p w14:paraId="6DE95A1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r>
      <w:tr w:rsidR="005412C5" w:rsidRPr="00561A62" w14:paraId="3BC30B3B"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1C8E7E3B" w14:textId="77777777" w:rsidR="005412C5" w:rsidRPr="00561A62" w:rsidRDefault="005412C5" w:rsidP="00BB5F26">
            <w:pPr>
              <w:rPr>
                <w:rFonts w:eastAsia="Times New Roman" w:cs="Calibri"/>
                <w:color w:val="000000"/>
                <w:sz w:val="16"/>
                <w:szCs w:val="16"/>
              </w:rPr>
            </w:pPr>
            <w:r w:rsidRPr="00826BEB">
              <w:rPr>
                <w:rFonts w:eastAsia="Times New Roman" w:cs="Calibri"/>
                <w:color w:val="000000"/>
                <w:sz w:val="16"/>
                <w:szCs w:val="16"/>
              </w:rPr>
              <w:t>Organización de Consumidores y Usuarios</w:t>
            </w:r>
          </w:p>
        </w:tc>
        <w:tc>
          <w:tcPr>
            <w:tcW w:w="1275" w:type="dxa"/>
            <w:noWrap/>
          </w:tcPr>
          <w:p w14:paraId="218D5DE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72,1</w:t>
            </w:r>
          </w:p>
        </w:tc>
        <w:tc>
          <w:tcPr>
            <w:tcW w:w="4962" w:type="dxa"/>
            <w:gridSpan w:val="3"/>
            <w:noWrap/>
          </w:tcPr>
          <w:p w14:paraId="475715F1"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72F1A7E6"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r>
      <w:tr w:rsidR="005412C5" w:rsidRPr="00561A62" w14:paraId="55868B9E"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4492A6D5"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Intermón Oxfam</w:t>
            </w:r>
          </w:p>
        </w:tc>
        <w:tc>
          <w:tcPr>
            <w:tcW w:w="1275" w:type="dxa"/>
            <w:noWrap/>
          </w:tcPr>
          <w:p w14:paraId="49170F65"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71,4</w:t>
            </w:r>
          </w:p>
        </w:tc>
        <w:tc>
          <w:tcPr>
            <w:tcW w:w="1560" w:type="dxa"/>
            <w:noWrap/>
          </w:tcPr>
          <w:p w14:paraId="14B6839D"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14,3</w:t>
            </w:r>
          </w:p>
        </w:tc>
        <w:tc>
          <w:tcPr>
            <w:tcW w:w="1842" w:type="dxa"/>
            <w:noWrap/>
          </w:tcPr>
          <w:p w14:paraId="38E3E36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9</w:t>
            </w:r>
          </w:p>
        </w:tc>
        <w:tc>
          <w:tcPr>
            <w:tcW w:w="1560" w:type="dxa"/>
            <w:noWrap/>
          </w:tcPr>
          <w:p w14:paraId="1998615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c>
          <w:tcPr>
            <w:tcW w:w="1559" w:type="dxa"/>
            <w:noWrap/>
          </w:tcPr>
          <w:p w14:paraId="05DB9F9A"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03F214EE"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5A720D7" w14:textId="77777777" w:rsidR="005412C5" w:rsidRPr="00561A62" w:rsidRDefault="005412C5" w:rsidP="00BB5F26">
            <w:pPr>
              <w:rPr>
                <w:rFonts w:eastAsia="Times New Roman" w:cs="Calibri"/>
                <w:color w:val="000000"/>
                <w:sz w:val="16"/>
                <w:szCs w:val="16"/>
              </w:rPr>
            </w:pPr>
            <w:r w:rsidRPr="008D32D8">
              <w:rPr>
                <w:rFonts w:eastAsia="Times New Roman" w:cs="Calibri"/>
                <w:color w:val="000000"/>
                <w:sz w:val="16"/>
                <w:szCs w:val="16"/>
              </w:rPr>
              <w:t>Real Federación Española de Gimnasia</w:t>
            </w:r>
          </w:p>
        </w:tc>
        <w:tc>
          <w:tcPr>
            <w:tcW w:w="1275" w:type="dxa"/>
            <w:noWrap/>
            <w:hideMark/>
          </w:tcPr>
          <w:p w14:paraId="17A395E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71</w:t>
            </w:r>
          </w:p>
        </w:tc>
        <w:tc>
          <w:tcPr>
            <w:tcW w:w="1560" w:type="dxa"/>
            <w:noWrap/>
            <w:hideMark/>
          </w:tcPr>
          <w:p w14:paraId="79BB52F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p>
        </w:tc>
        <w:tc>
          <w:tcPr>
            <w:tcW w:w="1842" w:type="dxa"/>
            <w:noWrap/>
            <w:hideMark/>
          </w:tcPr>
          <w:p w14:paraId="226A3AC7"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560" w:type="dxa"/>
            <w:noWrap/>
            <w:hideMark/>
          </w:tcPr>
          <w:p w14:paraId="605D999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w:t>
            </w:r>
          </w:p>
        </w:tc>
        <w:tc>
          <w:tcPr>
            <w:tcW w:w="1559" w:type="dxa"/>
            <w:noWrap/>
            <w:hideMark/>
          </w:tcPr>
          <w:p w14:paraId="01D92F2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r>
      <w:tr w:rsidR="005412C5" w:rsidRPr="00561A62" w14:paraId="73B8B204"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9199F50" w14:textId="77777777" w:rsidR="005412C5" w:rsidRPr="00561A62" w:rsidRDefault="005412C5" w:rsidP="00BB5F26">
            <w:pPr>
              <w:rPr>
                <w:rFonts w:eastAsia="Times New Roman" w:cs="Calibri"/>
                <w:color w:val="000000"/>
                <w:sz w:val="16"/>
                <w:szCs w:val="16"/>
              </w:rPr>
            </w:pPr>
            <w:r w:rsidRPr="008D32D8">
              <w:rPr>
                <w:rFonts w:eastAsia="Times New Roman" w:cs="Calibri"/>
                <w:color w:val="000000"/>
                <w:sz w:val="16"/>
                <w:szCs w:val="16"/>
              </w:rPr>
              <w:t xml:space="preserve">Real Federación Española de </w:t>
            </w:r>
            <w:r>
              <w:rPr>
                <w:rFonts w:eastAsia="Times New Roman" w:cs="Calibri"/>
                <w:color w:val="000000"/>
                <w:sz w:val="16"/>
                <w:szCs w:val="16"/>
              </w:rPr>
              <w:t>Atletismo</w:t>
            </w:r>
          </w:p>
        </w:tc>
        <w:tc>
          <w:tcPr>
            <w:tcW w:w="1275" w:type="dxa"/>
            <w:noWrap/>
            <w:hideMark/>
          </w:tcPr>
          <w:p w14:paraId="6701C16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62,8</w:t>
            </w:r>
          </w:p>
        </w:tc>
        <w:tc>
          <w:tcPr>
            <w:tcW w:w="4962" w:type="dxa"/>
            <w:gridSpan w:val="3"/>
            <w:noWrap/>
            <w:hideMark/>
          </w:tcPr>
          <w:p w14:paraId="49648493"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303EC92E"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3867222D"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0F922829" w14:textId="77777777" w:rsidR="005412C5" w:rsidRPr="008D32D8" w:rsidRDefault="005412C5" w:rsidP="00BB5F26">
            <w:pPr>
              <w:rPr>
                <w:rFonts w:eastAsia="Times New Roman" w:cs="Calibri"/>
                <w:color w:val="000000"/>
                <w:sz w:val="16"/>
                <w:szCs w:val="16"/>
              </w:rPr>
            </w:pPr>
            <w:r>
              <w:rPr>
                <w:rFonts w:eastAsia="Times New Roman" w:cs="Calibri"/>
                <w:color w:val="000000"/>
                <w:sz w:val="16"/>
                <w:szCs w:val="16"/>
              </w:rPr>
              <w:t>Eroski</w:t>
            </w:r>
          </w:p>
        </w:tc>
        <w:tc>
          <w:tcPr>
            <w:tcW w:w="1275" w:type="dxa"/>
            <w:noWrap/>
          </w:tcPr>
          <w:p w14:paraId="751B652A"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55,5</w:t>
            </w:r>
          </w:p>
        </w:tc>
        <w:tc>
          <w:tcPr>
            <w:tcW w:w="4962" w:type="dxa"/>
            <w:gridSpan w:val="3"/>
            <w:noWrap/>
          </w:tcPr>
          <w:p w14:paraId="3704E5E8"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51F4D39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3CFC7BB1"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796E0A7" w14:textId="77777777" w:rsidR="005412C5" w:rsidRPr="008D32D8" w:rsidRDefault="005412C5" w:rsidP="00BB5F26">
            <w:pPr>
              <w:rPr>
                <w:rFonts w:eastAsia="Times New Roman" w:cs="Calibri"/>
                <w:color w:val="000000"/>
                <w:sz w:val="16"/>
                <w:szCs w:val="16"/>
              </w:rPr>
            </w:pPr>
            <w:r>
              <w:rPr>
                <w:rFonts w:eastAsia="Times New Roman" w:cs="Calibri"/>
                <w:color w:val="000000"/>
                <w:sz w:val="16"/>
                <w:szCs w:val="16"/>
              </w:rPr>
              <w:t>Ford España</w:t>
            </w:r>
          </w:p>
        </w:tc>
        <w:tc>
          <w:tcPr>
            <w:tcW w:w="1275" w:type="dxa"/>
            <w:noWrap/>
          </w:tcPr>
          <w:p w14:paraId="22354B60"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54,9</w:t>
            </w:r>
          </w:p>
        </w:tc>
        <w:tc>
          <w:tcPr>
            <w:tcW w:w="4962" w:type="dxa"/>
            <w:gridSpan w:val="3"/>
            <w:noWrap/>
          </w:tcPr>
          <w:p w14:paraId="71995A25"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2324271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892B4AE"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3D220314" w14:textId="77777777" w:rsidR="005412C5" w:rsidRPr="008D32D8" w:rsidRDefault="005412C5" w:rsidP="00BB5F26">
            <w:pPr>
              <w:rPr>
                <w:rFonts w:eastAsia="Times New Roman" w:cs="Calibri"/>
                <w:color w:val="000000"/>
                <w:sz w:val="16"/>
                <w:szCs w:val="16"/>
              </w:rPr>
            </w:pPr>
            <w:r>
              <w:rPr>
                <w:rFonts w:eastAsia="Times New Roman" w:cs="Calibri"/>
                <w:color w:val="000000"/>
                <w:sz w:val="16"/>
                <w:szCs w:val="16"/>
              </w:rPr>
              <w:t xml:space="preserve">Real Federación Española de Balonmano </w:t>
            </w:r>
          </w:p>
        </w:tc>
        <w:tc>
          <w:tcPr>
            <w:tcW w:w="1275" w:type="dxa"/>
            <w:noWrap/>
          </w:tcPr>
          <w:p w14:paraId="5CDCDE92"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52,6</w:t>
            </w:r>
          </w:p>
        </w:tc>
        <w:tc>
          <w:tcPr>
            <w:tcW w:w="4962" w:type="dxa"/>
            <w:gridSpan w:val="3"/>
            <w:noWrap/>
          </w:tcPr>
          <w:p w14:paraId="20536BBF"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3B5936A9"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r>
      <w:tr w:rsidR="005412C5" w:rsidRPr="00561A62" w14:paraId="39106096"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5F2A5565" w14:textId="77777777" w:rsidR="005412C5" w:rsidRPr="008D32D8" w:rsidRDefault="005412C5" w:rsidP="00BB5F26">
            <w:pPr>
              <w:rPr>
                <w:rFonts w:eastAsia="Times New Roman" w:cs="Calibri"/>
                <w:color w:val="000000"/>
                <w:sz w:val="16"/>
                <w:szCs w:val="16"/>
              </w:rPr>
            </w:pPr>
            <w:r w:rsidRPr="008D32D8">
              <w:rPr>
                <w:sz w:val="16"/>
                <w:szCs w:val="16"/>
              </w:rPr>
              <w:t>Asociación Inserta Innovación</w:t>
            </w:r>
          </w:p>
        </w:tc>
        <w:tc>
          <w:tcPr>
            <w:tcW w:w="1275" w:type="dxa"/>
            <w:noWrap/>
          </w:tcPr>
          <w:p w14:paraId="761AE9E4"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51,4</w:t>
            </w:r>
          </w:p>
        </w:tc>
        <w:tc>
          <w:tcPr>
            <w:tcW w:w="4962" w:type="dxa"/>
            <w:gridSpan w:val="3"/>
            <w:noWrap/>
          </w:tcPr>
          <w:p w14:paraId="018BC6BE"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6A5424B0"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01386B36"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445627F8" w14:textId="77777777" w:rsidR="005412C5" w:rsidRPr="008D32D8" w:rsidRDefault="005412C5" w:rsidP="00BB5F26">
            <w:pPr>
              <w:rPr>
                <w:rFonts w:eastAsia="Times New Roman" w:cs="Calibri"/>
                <w:color w:val="000000"/>
                <w:sz w:val="16"/>
                <w:szCs w:val="16"/>
              </w:rPr>
            </w:pPr>
            <w:r w:rsidRPr="008D32D8">
              <w:rPr>
                <w:sz w:val="16"/>
                <w:szCs w:val="16"/>
              </w:rPr>
              <w:t>Fundación Ecología y Desarrollo</w:t>
            </w:r>
          </w:p>
        </w:tc>
        <w:tc>
          <w:tcPr>
            <w:tcW w:w="1275" w:type="dxa"/>
            <w:noWrap/>
          </w:tcPr>
          <w:p w14:paraId="384827E4"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51</w:t>
            </w:r>
          </w:p>
        </w:tc>
        <w:tc>
          <w:tcPr>
            <w:tcW w:w="4962" w:type="dxa"/>
            <w:gridSpan w:val="3"/>
            <w:noWrap/>
          </w:tcPr>
          <w:p w14:paraId="432F24A7"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029DF7CF"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1A945BCC"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C75B422" w14:textId="77777777" w:rsidR="005412C5" w:rsidRPr="008D32D8" w:rsidRDefault="005412C5" w:rsidP="00BB5F26">
            <w:pPr>
              <w:rPr>
                <w:rFonts w:eastAsia="Times New Roman" w:cs="Calibri"/>
                <w:color w:val="000000"/>
                <w:sz w:val="16"/>
                <w:szCs w:val="16"/>
              </w:rPr>
            </w:pPr>
            <w:r w:rsidRPr="008D32D8">
              <w:rPr>
                <w:sz w:val="16"/>
                <w:szCs w:val="16"/>
              </w:rPr>
              <w:t>Consejo de la Juventud de España</w:t>
            </w:r>
          </w:p>
        </w:tc>
        <w:tc>
          <w:tcPr>
            <w:tcW w:w="1275" w:type="dxa"/>
            <w:noWrap/>
          </w:tcPr>
          <w:p w14:paraId="7A8C720E"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51</w:t>
            </w:r>
          </w:p>
        </w:tc>
        <w:tc>
          <w:tcPr>
            <w:tcW w:w="4962" w:type="dxa"/>
            <w:gridSpan w:val="3"/>
            <w:noWrap/>
          </w:tcPr>
          <w:p w14:paraId="79007DE4"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22EA88F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15912927"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48925735" w14:textId="77777777" w:rsidR="005412C5" w:rsidRPr="008D32D8" w:rsidRDefault="005412C5" w:rsidP="00BB5F26">
            <w:pPr>
              <w:rPr>
                <w:rFonts w:eastAsia="Times New Roman" w:cs="Calibri"/>
                <w:color w:val="000000"/>
                <w:sz w:val="16"/>
                <w:szCs w:val="16"/>
              </w:rPr>
            </w:pPr>
            <w:r w:rsidRPr="008D32D8">
              <w:rPr>
                <w:sz w:val="16"/>
                <w:szCs w:val="16"/>
              </w:rPr>
              <w:t xml:space="preserve">Fundación Carmen Pardo </w:t>
            </w:r>
            <w:proofErr w:type="spellStart"/>
            <w:r w:rsidRPr="008D32D8">
              <w:rPr>
                <w:sz w:val="16"/>
                <w:szCs w:val="16"/>
              </w:rPr>
              <w:t>Valcarce</w:t>
            </w:r>
            <w:proofErr w:type="spellEnd"/>
            <w:r>
              <w:rPr>
                <w:sz w:val="16"/>
                <w:szCs w:val="16"/>
              </w:rPr>
              <w:t xml:space="preserve"> </w:t>
            </w:r>
          </w:p>
        </w:tc>
        <w:tc>
          <w:tcPr>
            <w:tcW w:w="1275" w:type="dxa"/>
            <w:noWrap/>
          </w:tcPr>
          <w:p w14:paraId="31286BA4"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50</w:t>
            </w:r>
          </w:p>
        </w:tc>
        <w:tc>
          <w:tcPr>
            <w:tcW w:w="4962" w:type="dxa"/>
            <w:gridSpan w:val="3"/>
            <w:noWrap/>
          </w:tcPr>
          <w:p w14:paraId="76B62ED1"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462F09A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1676535B"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7CE47177" w14:textId="77777777" w:rsidR="005412C5" w:rsidRPr="008D32D8" w:rsidRDefault="005412C5" w:rsidP="00BB5F26">
            <w:pPr>
              <w:rPr>
                <w:sz w:val="16"/>
                <w:szCs w:val="16"/>
              </w:rPr>
            </w:pPr>
            <w:r w:rsidRPr="008D32D8">
              <w:rPr>
                <w:sz w:val="16"/>
                <w:szCs w:val="16"/>
              </w:rPr>
              <w:t>Fundación Solidaridad Amaranta</w:t>
            </w:r>
          </w:p>
        </w:tc>
        <w:tc>
          <w:tcPr>
            <w:tcW w:w="1275" w:type="dxa"/>
            <w:noWrap/>
          </w:tcPr>
          <w:p w14:paraId="62E1DA30"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49,5</w:t>
            </w:r>
          </w:p>
        </w:tc>
        <w:tc>
          <w:tcPr>
            <w:tcW w:w="4962" w:type="dxa"/>
            <w:gridSpan w:val="3"/>
            <w:noWrap/>
          </w:tcPr>
          <w:p w14:paraId="0D7C5C4D"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76EDA8E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5</w:t>
            </w:r>
          </w:p>
        </w:tc>
      </w:tr>
      <w:tr w:rsidR="005412C5" w:rsidRPr="00561A62" w14:paraId="38849AC4"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54689A02" w14:textId="77777777" w:rsidR="005412C5" w:rsidRPr="008D32D8" w:rsidRDefault="005412C5" w:rsidP="00BB5F26">
            <w:pPr>
              <w:rPr>
                <w:sz w:val="16"/>
                <w:szCs w:val="16"/>
              </w:rPr>
            </w:pPr>
            <w:r>
              <w:rPr>
                <w:sz w:val="16"/>
                <w:szCs w:val="16"/>
              </w:rPr>
              <w:t xml:space="preserve">Real </w:t>
            </w:r>
            <w:r w:rsidRPr="008D32D8">
              <w:rPr>
                <w:sz w:val="16"/>
                <w:szCs w:val="16"/>
              </w:rPr>
              <w:t>Federación Española de Esgrima</w:t>
            </w:r>
          </w:p>
        </w:tc>
        <w:tc>
          <w:tcPr>
            <w:tcW w:w="1275" w:type="dxa"/>
            <w:noWrap/>
          </w:tcPr>
          <w:p w14:paraId="4BE9114C" w14:textId="77777777" w:rsidR="005412C5"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49,5</w:t>
            </w:r>
          </w:p>
        </w:tc>
        <w:tc>
          <w:tcPr>
            <w:tcW w:w="4962" w:type="dxa"/>
            <w:gridSpan w:val="3"/>
            <w:noWrap/>
          </w:tcPr>
          <w:p w14:paraId="474970E4"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677CC45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36937D3A"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52321949" w14:textId="77777777" w:rsidR="005412C5" w:rsidRPr="008D32D8" w:rsidRDefault="005412C5" w:rsidP="00BB5F26">
            <w:pPr>
              <w:rPr>
                <w:sz w:val="16"/>
                <w:szCs w:val="16"/>
              </w:rPr>
            </w:pPr>
            <w:r w:rsidRPr="008D32D8">
              <w:rPr>
                <w:sz w:val="16"/>
                <w:szCs w:val="16"/>
              </w:rPr>
              <w:t>Fundación Amigo</w:t>
            </w:r>
          </w:p>
        </w:tc>
        <w:tc>
          <w:tcPr>
            <w:tcW w:w="1275" w:type="dxa"/>
            <w:noWrap/>
          </w:tcPr>
          <w:p w14:paraId="6700D551"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49</w:t>
            </w:r>
          </w:p>
        </w:tc>
        <w:tc>
          <w:tcPr>
            <w:tcW w:w="4962" w:type="dxa"/>
            <w:gridSpan w:val="3"/>
            <w:noWrap/>
          </w:tcPr>
          <w:p w14:paraId="26046F6D"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13336AC3"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4DC2A4BF"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337F15C"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Fundación Tomillo</w:t>
            </w:r>
          </w:p>
        </w:tc>
        <w:tc>
          <w:tcPr>
            <w:tcW w:w="1275" w:type="dxa"/>
            <w:noWrap/>
            <w:hideMark/>
          </w:tcPr>
          <w:p w14:paraId="243347B7"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48,5</w:t>
            </w:r>
          </w:p>
        </w:tc>
        <w:tc>
          <w:tcPr>
            <w:tcW w:w="1560" w:type="dxa"/>
            <w:noWrap/>
            <w:hideMark/>
          </w:tcPr>
          <w:p w14:paraId="5E530388"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2,5</w:t>
            </w:r>
          </w:p>
        </w:tc>
        <w:tc>
          <w:tcPr>
            <w:tcW w:w="1842" w:type="dxa"/>
            <w:noWrap/>
            <w:hideMark/>
          </w:tcPr>
          <w:p w14:paraId="31BB6042"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10</w:t>
            </w:r>
          </w:p>
        </w:tc>
        <w:tc>
          <w:tcPr>
            <w:tcW w:w="1560" w:type="dxa"/>
            <w:noWrap/>
            <w:hideMark/>
          </w:tcPr>
          <w:p w14:paraId="7C68945F"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c>
          <w:tcPr>
            <w:tcW w:w="1559" w:type="dxa"/>
            <w:noWrap/>
            <w:hideMark/>
          </w:tcPr>
          <w:p w14:paraId="5310FCE4"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4701823D"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F371F22"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Fundación Secretariado Gitano</w:t>
            </w:r>
          </w:p>
        </w:tc>
        <w:tc>
          <w:tcPr>
            <w:tcW w:w="1275" w:type="dxa"/>
            <w:noWrap/>
            <w:hideMark/>
          </w:tcPr>
          <w:p w14:paraId="40B23CD5"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48,5</w:t>
            </w:r>
          </w:p>
        </w:tc>
        <w:tc>
          <w:tcPr>
            <w:tcW w:w="4962" w:type="dxa"/>
            <w:gridSpan w:val="3"/>
            <w:noWrap/>
            <w:hideMark/>
          </w:tcPr>
          <w:p w14:paraId="10D49D49"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47A2AE32"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1D0C1F9F"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1FEE4257"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Real Federación Española de Boxeo</w:t>
            </w:r>
          </w:p>
        </w:tc>
        <w:tc>
          <w:tcPr>
            <w:tcW w:w="1275" w:type="dxa"/>
            <w:noWrap/>
          </w:tcPr>
          <w:p w14:paraId="1273D7D4"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48</w:t>
            </w:r>
          </w:p>
        </w:tc>
        <w:tc>
          <w:tcPr>
            <w:tcW w:w="4962" w:type="dxa"/>
            <w:gridSpan w:val="3"/>
            <w:noWrap/>
            <w:hideMark/>
          </w:tcPr>
          <w:p w14:paraId="012B99CA"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00B78F96"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F3C101F"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7525E997" w14:textId="77777777" w:rsidR="005412C5" w:rsidRDefault="005412C5" w:rsidP="00BB5F26">
            <w:pPr>
              <w:rPr>
                <w:rFonts w:eastAsia="Times New Roman" w:cs="Calibri"/>
                <w:color w:val="000000"/>
                <w:sz w:val="16"/>
                <w:szCs w:val="16"/>
              </w:rPr>
            </w:pPr>
            <w:r w:rsidRPr="005957ED">
              <w:rPr>
                <w:sz w:val="16"/>
                <w:szCs w:val="16"/>
              </w:rPr>
              <w:t>Sociedad Española de Agricultura Ecológica y Agroecología</w:t>
            </w:r>
          </w:p>
        </w:tc>
        <w:tc>
          <w:tcPr>
            <w:tcW w:w="1275" w:type="dxa"/>
            <w:noWrap/>
          </w:tcPr>
          <w:p w14:paraId="4A7F3AB5" w14:textId="77777777" w:rsidR="005412C5"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47,4</w:t>
            </w:r>
          </w:p>
        </w:tc>
        <w:tc>
          <w:tcPr>
            <w:tcW w:w="4962" w:type="dxa"/>
            <w:gridSpan w:val="3"/>
            <w:noWrap/>
          </w:tcPr>
          <w:p w14:paraId="0DFC02C1"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18026727"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r>
      <w:tr w:rsidR="005412C5" w:rsidRPr="00561A62" w14:paraId="51F753F3"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2E433DA5"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Federación Española de Remo</w:t>
            </w:r>
          </w:p>
        </w:tc>
        <w:tc>
          <w:tcPr>
            <w:tcW w:w="1275" w:type="dxa"/>
            <w:noWrap/>
          </w:tcPr>
          <w:p w14:paraId="64A0A84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46,2</w:t>
            </w:r>
          </w:p>
        </w:tc>
        <w:tc>
          <w:tcPr>
            <w:tcW w:w="4962" w:type="dxa"/>
            <w:gridSpan w:val="3"/>
            <w:noWrap/>
            <w:hideMark/>
          </w:tcPr>
          <w:p w14:paraId="026379C4"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3D4317D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F668FE3"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185C79E1"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Federación Española de Baloncesto</w:t>
            </w:r>
          </w:p>
        </w:tc>
        <w:tc>
          <w:tcPr>
            <w:tcW w:w="1275" w:type="dxa"/>
            <w:noWrap/>
          </w:tcPr>
          <w:p w14:paraId="2EBC761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43,9</w:t>
            </w:r>
          </w:p>
        </w:tc>
        <w:tc>
          <w:tcPr>
            <w:tcW w:w="4962" w:type="dxa"/>
            <w:gridSpan w:val="3"/>
            <w:noWrap/>
            <w:hideMark/>
          </w:tcPr>
          <w:p w14:paraId="0F0B49E4"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3F1E7B22"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8</w:t>
            </w:r>
          </w:p>
        </w:tc>
      </w:tr>
      <w:tr w:rsidR="005412C5" w:rsidRPr="00561A62" w14:paraId="6942FEB5"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CAAA458" w14:textId="77777777" w:rsidR="005412C5" w:rsidRPr="00561A62" w:rsidRDefault="005412C5" w:rsidP="00BB5F26">
            <w:pPr>
              <w:rPr>
                <w:rFonts w:eastAsia="Times New Roman" w:cs="Calibri"/>
                <w:color w:val="000000"/>
                <w:sz w:val="16"/>
                <w:szCs w:val="16"/>
              </w:rPr>
            </w:pPr>
            <w:proofErr w:type="spellStart"/>
            <w:r w:rsidRPr="00561A62">
              <w:rPr>
                <w:rFonts w:eastAsia="Times New Roman" w:cs="Calibri"/>
                <w:color w:val="000000"/>
                <w:sz w:val="16"/>
                <w:szCs w:val="16"/>
              </w:rPr>
              <w:t>Ilunion</w:t>
            </w:r>
            <w:proofErr w:type="spellEnd"/>
            <w:r w:rsidRPr="00561A62">
              <w:rPr>
                <w:rFonts w:eastAsia="Times New Roman" w:cs="Calibri"/>
                <w:color w:val="000000"/>
                <w:sz w:val="16"/>
                <w:szCs w:val="16"/>
              </w:rPr>
              <w:t xml:space="preserve"> Lavanderías, S.A.</w:t>
            </w:r>
          </w:p>
        </w:tc>
        <w:tc>
          <w:tcPr>
            <w:tcW w:w="1275" w:type="dxa"/>
            <w:noWrap/>
            <w:hideMark/>
          </w:tcPr>
          <w:p w14:paraId="696FBC9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43,5</w:t>
            </w:r>
          </w:p>
        </w:tc>
        <w:tc>
          <w:tcPr>
            <w:tcW w:w="1560" w:type="dxa"/>
            <w:noWrap/>
            <w:hideMark/>
          </w:tcPr>
          <w:p w14:paraId="7EA34AD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6,5</w:t>
            </w:r>
          </w:p>
        </w:tc>
        <w:tc>
          <w:tcPr>
            <w:tcW w:w="1842" w:type="dxa"/>
            <w:noWrap/>
            <w:hideMark/>
          </w:tcPr>
          <w:p w14:paraId="597C0834"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60" w:type="dxa"/>
            <w:noWrap/>
            <w:hideMark/>
          </w:tcPr>
          <w:p w14:paraId="06539FE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559" w:type="dxa"/>
            <w:noWrap/>
            <w:hideMark/>
          </w:tcPr>
          <w:p w14:paraId="512A927F"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7655A10"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A324729" w14:textId="77777777" w:rsidR="005412C5" w:rsidRPr="00561A62" w:rsidRDefault="005412C5" w:rsidP="00BB5F26">
            <w:pPr>
              <w:rPr>
                <w:rFonts w:eastAsia="Times New Roman" w:cs="Calibri"/>
                <w:color w:val="000000"/>
                <w:sz w:val="16"/>
                <w:szCs w:val="16"/>
              </w:rPr>
            </w:pPr>
            <w:proofErr w:type="spellStart"/>
            <w:r>
              <w:rPr>
                <w:rFonts w:eastAsia="Times New Roman" w:cs="Calibri"/>
                <w:color w:val="000000"/>
                <w:sz w:val="16"/>
                <w:szCs w:val="16"/>
              </w:rPr>
              <w:t>Asufin</w:t>
            </w:r>
            <w:proofErr w:type="spellEnd"/>
          </w:p>
        </w:tc>
        <w:tc>
          <w:tcPr>
            <w:tcW w:w="1275" w:type="dxa"/>
            <w:noWrap/>
            <w:hideMark/>
          </w:tcPr>
          <w:p w14:paraId="05E0CED5"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43</w:t>
            </w:r>
          </w:p>
        </w:tc>
        <w:tc>
          <w:tcPr>
            <w:tcW w:w="4962" w:type="dxa"/>
            <w:gridSpan w:val="3"/>
            <w:noWrap/>
            <w:hideMark/>
          </w:tcPr>
          <w:p w14:paraId="1C6B7A2D"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623ADE0C"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3DE37191"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63CDA46" w14:textId="77777777" w:rsidR="005412C5" w:rsidRPr="00561A62" w:rsidRDefault="005412C5" w:rsidP="00BB5F26">
            <w:pPr>
              <w:rPr>
                <w:rFonts w:eastAsia="Times New Roman" w:cs="Calibri"/>
                <w:sz w:val="16"/>
                <w:szCs w:val="16"/>
              </w:rPr>
            </w:pPr>
            <w:r w:rsidRPr="00561A62">
              <w:rPr>
                <w:rFonts w:eastAsia="Times New Roman" w:cs="Calibri"/>
                <w:color w:val="000000"/>
                <w:sz w:val="16"/>
                <w:szCs w:val="16"/>
              </w:rPr>
              <w:t>Fundación Ronald McDonald</w:t>
            </w:r>
          </w:p>
        </w:tc>
        <w:tc>
          <w:tcPr>
            <w:tcW w:w="1275" w:type="dxa"/>
            <w:noWrap/>
            <w:hideMark/>
          </w:tcPr>
          <w:p w14:paraId="778E8DB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42,3</w:t>
            </w:r>
          </w:p>
        </w:tc>
        <w:tc>
          <w:tcPr>
            <w:tcW w:w="1560" w:type="dxa"/>
            <w:noWrap/>
            <w:hideMark/>
          </w:tcPr>
          <w:p w14:paraId="32DE861C"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-7,7</w:t>
            </w:r>
          </w:p>
        </w:tc>
        <w:tc>
          <w:tcPr>
            <w:tcW w:w="1842" w:type="dxa"/>
            <w:noWrap/>
            <w:hideMark/>
          </w:tcPr>
          <w:p w14:paraId="1DCBACA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10</w:t>
            </w:r>
          </w:p>
        </w:tc>
        <w:tc>
          <w:tcPr>
            <w:tcW w:w="1560" w:type="dxa"/>
            <w:noWrap/>
            <w:hideMark/>
          </w:tcPr>
          <w:p w14:paraId="29AC2DC9"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559" w:type="dxa"/>
            <w:noWrap/>
            <w:hideMark/>
          </w:tcPr>
          <w:p w14:paraId="4D652FB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790804D"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988A077" w14:textId="77777777" w:rsidR="005412C5" w:rsidRPr="005957ED" w:rsidRDefault="005412C5" w:rsidP="00BB5F26">
            <w:pPr>
              <w:rPr>
                <w:rFonts w:eastAsia="Times New Roman" w:cs="Calibri"/>
                <w:color w:val="000000"/>
                <w:sz w:val="16"/>
                <w:szCs w:val="16"/>
              </w:rPr>
            </w:pPr>
            <w:r w:rsidRPr="005957ED">
              <w:rPr>
                <w:sz w:val="16"/>
                <w:szCs w:val="16"/>
              </w:rPr>
              <w:t>Asociación Mujeres en Zona de Conflicto</w:t>
            </w:r>
          </w:p>
        </w:tc>
        <w:tc>
          <w:tcPr>
            <w:tcW w:w="1275" w:type="dxa"/>
            <w:noWrap/>
          </w:tcPr>
          <w:p w14:paraId="6980D86F"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42,3</w:t>
            </w:r>
          </w:p>
        </w:tc>
        <w:tc>
          <w:tcPr>
            <w:tcW w:w="4962" w:type="dxa"/>
            <w:gridSpan w:val="3"/>
            <w:noWrap/>
            <w:hideMark/>
          </w:tcPr>
          <w:p w14:paraId="0EFC070C"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75A72056"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0E033AD8"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D96C397" w14:textId="77777777" w:rsidR="005412C5" w:rsidRPr="005957ED" w:rsidRDefault="005412C5" w:rsidP="00BB5F26">
            <w:pPr>
              <w:rPr>
                <w:rFonts w:eastAsia="Times New Roman" w:cs="Calibri"/>
                <w:color w:val="000000"/>
                <w:sz w:val="16"/>
                <w:szCs w:val="16"/>
              </w:rPr>
            </w:pPr>
            <w:proofErr w:type="spellStart"/>
            <w:r w:rsidRPr="005957ED">
              <w:rPr>
                <w:sz w:val="16"/>
                <w:szCs w:val="16"/>
              </w:rPr>
              <w:t>Naturgy</w:t>
            </w:r>
            <w:proofErr w:type="spellEnd"/>
            <w:r w:rsidRPr="005957ED">
              <w:rPr>
                <w:sz w:val="16"/>
                <w:szCs w:val="16"/>
              </w:rPr>
              <w:t xml:space="preserve"> Renovables</w:t>
            </w:r>
          </w:p>
        </w:tc>
        <w:tc>
          <w:tcPr>
            <w:tcW w:w="1275" w:type="dxa"/>
            <w:noWrap/>
          </w:tcPr>
          <w:p w14:paraId="4BDA6BD8"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40,7</w:t>
            </w:r>
          </w:p>
        </w:tc>
        <w:tc>
          <w:tcPr>
            <w:tcW w:w="4962" w:type="dxa"/>
            <w:gridSpan w:val="3"/>
            <w:noWrap/>
          </w:tcPr>
          <w:p w14:paraId="15681E34"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565B7779"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p>
        </w:tc>
      </w:tr>
      <w:tr w:rsidR="005412C5" w:rsidRPr="00561A62" w14:paraId="02CD9CD1"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CF53ACD" w14:textId="77777777" w:rsidR="005412C5" w:rsidRPr="005957ED" w:rsidRDefault="005412C5" w:rsidP="00BB5F26">
            <w:pPr>
              <w:rPr>
                <w:rFonts w:eastAsia="Times New Roman" w:cs="Calibri"/>
                <w:color w:val="000000"/>
                <w:sz w:val="16"/>
                <w:szCs w:val="16"/>
              </w:rPr>
            </w:pPr>
            <w:r w:rsidRPr="005957ED">
              <w:rPr>
                <w:sz w:val="16"/>
                <w:szCs w:val="16"/>
              </w:rPr>
              <w:t>Iberdrola Generación</w:t>
            </w:r>
          </w:p>
        </w:tc>
        <w:tc>
          <w:tcPr>
            <w:tcW w:w="1275" w:type="dxa"/>
            <w:noWrap/>
          </w:tcPr>
          <w:p w14:paraId="56DD8524"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40,1</w:t>
            </w:r>
          </w:p>
        </w:tc>
        <w:tc>
          <w:tcPr>
            <w:tcW w:w="4962" w:type="dxa"/>
            <w:gridSpan w:val="3"/>
            <w:noWrap/>
            <w:hideMark/>
          </w:tcPr>
          <w:p w14:paraId="0B49988A"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216D8D2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p>
        </w:tc>
      </w:tr>
      <w:tr w:rsidR="005412C5" w:rsidRPr="00561A62" w14:paraId="095E2B47"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505AA83" w14:textId="77777777" w:rsidR="005412C5" w:rsidRPr="005957ED" w:rsidRDefault="005412C5" w:rsidP="00BB5F26">
            <w:pPr>
              <w:rPr>
                <w:rFonts w:eastAsia="Times New Roman" w:cs="Calibri"/>
                <w:color w:val="000000"/>
                <w:sz w:val="16"/>
                <w:szCs w:val="16"/>
              </w:rPr>
            </w:pPr>
            <w:r w:rsidRPr="005957ED">
              <w:rPr>
                <w:sz w:val="16"/>
                <w:szCs w:val="16"/>
              </w:rPr>
              <w:t>Unión de Asociaciones Familiares</w:t>
            </w:r>
          </w:p>
        </w:tc>
        <w:tc>
          <w:tcPr>
            <w:tcW w:w="1275" w:type="dxa"/>
            <w:noWrap/>
          </w:tcPr>
          <w:p w14:paraId="656B19F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38,8</w:t>
            </w:r>
          </w:p>
        </w:tc>
        <w:tc>
          <w:tcPr>
            <w:tcW w:w="4962" w:type="dxa"/>
            <w:gridSpan w:val="3"/>
            <w:noWrap/>
          </w:tcPr>
          <w:p w14:paraId="58D0EACE"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61CCD04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3</w:t>
            </w:r>
          </w:p>
        </w:tc>
      </w:tr>
      <w:tr w:rsidR="005412C5" w:rsidRPr="00561A62" w14:paraId="0A796A75"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CAEF837" w14:textId="77777777" w:rsidR="005412C5" w:rsidRPr="005957ED" w:rsidRDefault="005412C5" w:rsidP="00BB5F26">
            <w:pPr>
              <w:rPr>
                <w:rFonts w:eastAsia="Times New Roman" w:cs="Calibri"/>
                <w:color w:val="000000"/>
                <w:sz w:val="16"/>
                <w:szCs w:val="16"/>
              </w:rPr>
            </w:pPr>
            <w:r w:rsidRPr="005957ED">
              <w:rPr>
                <w:sz w:val="16"/>
                <w:szCs w:val="16"/>
              </w:rPr>
              <w:t>Coordinadora Estatal de Plataformas Sociales Salesianas</w:t>
            </w:r>
          </w:p>
        </w:tc>
        <w:tc>
          <w:tcPr>
            <w:tcW w:w="1275" w:type="dxa"/>
            <w:noWrap/>
          </w:tcPr>
          <w:p w14:paraId="5F754360"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37,2</w:t>
            </w:r>
          </w:p>
        </w:tc>
        <w:tc>
          <w:tcPr>
            <w:tcW w:w="4962" w:type="dxa"/>
            <w:gridSpan w:val="3"/>
            <w:noWrap/>
            <w:hideMark/>
          </w:tcPr>
          <w:p w14:paraId="30A69B35"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p w14:paraId="029D1839"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1559" w:type="dxa"/>
            <w:noWrap/>
            <w:hideMark/>
          </w:tcPr>
          <w:p w14:paraId="5FB6FF9F"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1010890E"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EF5C000" w14:textId="77777777" w:rsidR="005412C5" w:rsidRPr="005957ED" w:rsidRDefault="005412C5" w:rsidP="00BB5F26">
            <w:pPr>
              <w:rPr>
                <w:rFonts w:eastAsia="Times New Roman" w:cs="Calibri"/>
                <w:color w:val="000000"/>
                <w:sz w:val="16"/>
                <w:szCs w:val="16"/>
              </w:rPr>
            </w:pPr>
            <w:r w:rsidRPr="005957ED">
              <w:rPr>
                <w:sz w:val="16"/>
                <w:szCs w:val="16"/>
              </w:rPr>
              <w:t xml:space="preserve">Asociación </w:t>
            </w:r>
            <w:proofErr w:type="spellStart"/>
            <w:r w:rsidRPr="005957ED">
              <w:rPr>
                <w:sz w:val="16"/>
                <w:szCs w:val="16"/>
              </w:rPr>
              <w:t>Columbares</w:t>
            </w:r>
            <w:proofErr w:type="spellEnd"/>
          </w:p>
        </w:tc>
        <w:tc>
          <w:tcPr>
            <w:tcW w:w="1275" w:type="dxa"/>
            <w:noWrap/>
          </w:tcPr>
          <w:p w14:paraId="64D3B45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36,7</w:t>
            </w:r>
          </w:p>
        </w:tc>
        <w:tc>
          <w:tcPr>
            <w:tcW w:w="4962" w:type="dxa"/>
            <w:gridSpan w:val="3"/>
            <w:noWrap/>
            <w:hideMark/>
          </w:tcPr>
          <w:p w14:paraId="28BB3113"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p w14:paraId="30565ED9"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1559" w:type="dxa"/>
            <w:noWrap/>
            <w:hideMark/>
          </w:tcPr>
          <w:p w14:paraId="7C818677"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4D46F7D"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566A172" w14:textId="77777777" w:rsidR="005412C5" w:rsidRPr="005957ED" w:rsidRDefault="005412C5" w:rsidP="00BB5F26">
            <w:pPr>
              <w:rPr>
                <w:rFonts w:eastAsia="Times New Roman" w:cs="Calibri"/>
                <w:color w:val="000000"/>
                <w:sz w:val="16"/>
                <w:szCs w:val="16"/>
              </w:rPr>
            </w:pPr>
            <w:r>
              <w:rPr>
                <w:sz w:val="16"/>
                <w:szCs w:val="16"/>
              </w:rPr>
              <w:t>ESIC</w:t>
            </w:r>
          </w:p>
        </w:tc>
        <w:tc>
          <w:tcPr>
            <w:tcW w:w="1275" w:type="dxa"/>
            <w:noWrap/>
          </w:tcPr>
          <w:p w14:paraId="2D4C7792"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35,7</w:t>
            </w:r>
          </w:p>
        </w:tc>
        <w:tc>
          <w:tcPr>
            <w:tcW w:w="4962" w:type="dxa"/>
            <w:gridSpan w:val="3"/>
            <w:noWrap/>
            <w:hideMark/>
          </w:tcPr>
          <w:p w14:paraId="6993D7C1"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67C8FE66"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58A4A42A"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4C5DF7D" w14:textId="77777777" w:rsidR="005412C5" w:rsidRPr="005957ED" w:rsidRDefault="005412C5" w:rsidP="00BB5F26">
            <w:pPr>
              <w:rPr>
                <w:rFonts w:eastAsia="Times New Roman" w:cs="Calibri"/>
                <w:color w:val="000000"/>
                <w:sz w:val="16"/>
                <w:szCs w:val="16"/>
              </w:rPr>
            </w:pPr>
            <w:r w:rsidRPr="007B668E">
              <w:rPr>
                <w:sz w:val="16"/>
                <w:szCs w:val="16"/>
              </w:rPr>
              <w:t>Confederación Empresarial de Hostelería de España</w:t>
            </w:r>
          </w:p>
        </w:tc>
        <w:tc>
          <w:tcPr>
            <w:tcW w:w="1275" w:type="dxa"/>
            <w:noWrap/>
            <w:hideMark/>
          </w:tcPr>
          <w:p w14:paraId="361B600E"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34,3</w:t>
            </w:r>
          </w:p>
        </w:tc>
        <w:tc>
          <w:tcPr>
            <w:tcW w:w="1560" w:type="dxa"/>
            <w:noWrap/>
            <w:hideMark/>
          </w:tcPr>
          <w:p w14:paraId="5340C1E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w:t>
            </w:r>
          </w:p>
        </w:tc>
        <w:tc>
          <w:tcPr>
            <w:tcW w:w="1842" w:type="dxa"/>
            <w:noWrap/>
            <w:hideMark/>
          </w:tcPr>
          <w:p w14:paraId="765C1D2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60" w:type="dxa"/>
            <w:noWrap/>
            <w:hideMark/>
          </w:tcPr>
          <w:p w14:paraId="46D63CC6"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c>
          <w:tcPr>
            <w:tcW w:w="1559" w:type="dxa"/>
            <w:noWrap/>
            <w:hideMark/>
          </w:tcPr>
          <w:p w14:paraId="23E6645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3343ACB"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F3AC66F"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Fundación PRODE</w:t>
            </w:r>
          </w:p>
        </w:tc>
        <w:tc>
          <w:tcPr>
            <w:tcW w:w="1275" w:type="dxa"/>
            <w:noWrap/>
            <w:hideMark/>
          </w:tcPr>
          <w:p w14:paraId="4CDB6EB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33,7</w:t>
            </w:r>
          </w:p>
        </w:tc>
        <w:tc>
          <w:tcPr>
            <w:tcW w:w="4962" w:type="dxa"/>
            <w:gridSpan w:val="3"/>
            <w:noWrap/>
            <w:hideMark/>
          </w:tcPr>
          <w:p w14:paraId="1933F70B"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7999252D"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6</w:t>
            </w:r>
          </w:p>
        </w:tc>
      </w:tr>
      <w:tr w:rsidR="005412C5" w:rsidRPr="00561A62" w14:paraId="69A0AD1E"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5C03293"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Cemex España Operaciones</w:t>
            </w:r>
          </w:p>
        </w:tc>
        <w:tc>
          <w:tcPr>
            <w:tcW w:w="1275" w:type="dxa"/>
            <w:noWrap/>
          </w:tcPr>
          <w:p w14:paraId="3960E70E"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33</w:t>
            </w:r>
          </w:p>
        </w:tc>
        <w:tc>
          <w:tcPr>
            <w:tcW w:w="4962" w:type="dxa"/>
            <w:gridSpan w:val="3"/>
            <w:noWrap/>
            <w:hideMark/>
          </w:tcPr>
          <w:p w14:paraId="558CD0A7"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162D79A7"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751A37C8"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41E539B"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Nuevo Hogar Betania</w:t>
            </w:r>
          </w:p>
        </w:tc>
        <w:tc>
          <w:tcPr>
            <w:tcW w:w="1275" w:type="dxa"/>
            <w:noWrap/>
          </w:tcPr>
          <w:p w14:paraId="2A7A36E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33</w:t>
            </w:r>
          </w:p>
        </w:tc>
        <w:tc>
          <w:tcPr>
            <w:tcW w:w="4962" w:type="dxa"/>
            <w:gridSpan w:val="3"/>
            <w:noWrap/>
            <w:hideMark/>
          </w:tcPr>
          <w:p w14:paraId="2D9819D9"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3F2477F1"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DD853E2"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9DAEEB1"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Movimiento Scout Católico</w:t>
            </w:r>
          </w:p>
        </w:tc>
        <w:tc>
          <w:tcPr>
            <w:tcW w:w="1275" w:type="dxa"/>
            <w:noWrap/>
          </w:tcPr>
          <w:p w14:paraId="2F03B9AB"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32,7</w:t>
            </w:r>
          </w:p>
        </w:tc>
        <w:tc>
          <w:tcPr>
            <w:tcW w:w="1560" w:type="dxa"/>
            <w:noWrap/>
          </w:tcPr>
          <w:p w14:paraId="3CF6A5E5"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-6,6</w:t>
            </w:r>
          </w:p>
        </w:tc>
        <w:tc>
          <w:tcPr>
            <w:tcW w:w="1842" w:type="dxa"/>
            <w:noWrap/>
          </w:tcPr>
          <w:p w14:paraId="5D4714B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60" w:type="dxa"/>
            <w:noWrap/>
          </w:tcPr>
          <w:p w14:paraId="0AF17D4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559" w:type="dxa"/>
            <w:noWrap/>
          </w:tcPr>
          <w:p w14:paraId="6D5EEDDE"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B302C36"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F16F738" w14:textId="77777777" w:rsidR="005412C5" w:rsidRPr="00561A62" w:rsidRDefault="005412C5" w:rsidP="00BB5F26">
            <w:pPr>
              <w:rPr>
                <w:rFonts w:eastAsia="Times New Roman" w:cs="Calibri"/>
                <w:color w:val="000000"/>
                <w:sz w:val="16"/>
                <w:szCs w:val="16"/>
              </w:rPr>
            </w:pPr>
            <w:proofErr w:type="spellStart"/>
            <w:r>
              <w:rPr>
                <w:rFonts w:eastAsia="Times New Roman" w:cs="Calibri"/>
                <w:color w:val="000000"/>
                <w:sz w:val="16"/>
                <w:szCs w:val="16"/>
              </w:rPr>
              <w:t>Confebus</w:t>
            </w:r>
            <w:proofErr w:type="spellEnd"/>
          </w:p>
        </w:tc>
        <w:tc>
          <w:tcPr>
            <w:tcW w:w="1275" w:type="dxa"/>
            <w:noWrap/>
          </w:tcPr>
          <w:p w14:paraId="4F16EB65"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32,1</w:t>
            </w:r>
          </w:p>
        </w:tc>
        <w:tc>
          <w:tcPr>
            <w:tcW w:w="4962" w:type="dxa"/>
            <w:gridSpan w:val="3"/>
            <w:noWrap/>
          </w:tcPr>
          <w:p w14:paraId="3D51698B"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774AC9E4"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5D4EF82F"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21CDB2C"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I-De Redes Eléctricas Inteligentes</w:t>
            </w:r>
          </w:p>
        </w:tc>
        <w:tc>
          <w:tcPr>
            <w:tcW w:w="1275" w:type="dxa"/>
            <w:noWrap/>
            <w:hideMark/>
          </w:tcPr>
          <w:p w14:paraId="381112BB"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30,8</w:t>
            </w:r>
          </w:p>
        </w:tc>
        <w:tc>
          <w:tcPr>
            <w:tcW w:w="4962" w:type="dxa"/>
            <w:gridSpan w:val="3"/>
            <w:noWrap/>
            <w:hideMark/>
          </w:tcPr>
          <w:p w14:paraId="0208716B"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18F3D56A"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7D18237"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9940827"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Unión de Profesionales y Trabajadores Autónomos de España (UPTA)</w:t>
            </w:r>
          </w:p>
        </w:tc>
        <w:tc>
          <w:tcPr>
            <w:tcW w:w="1275" w:type="dxa"/>
            <w:noWrap/>
            <w:hideMark/>
          </w:tcPr>
          <w:p w14:paraId="7F099B47"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27</w:t>
            </w:r>
          </w:p>
        </w:tc>
        <w:tc>
          <w:tcPr>
            <w:tcW w:w="1560" w:type="dxa"/>
            <w:noWrap/>
            <w:hideMark/>
          </w:tcPr>
          <w:p w14:paraId="2E96EE34"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r>
              <w:rPr>
                <w:rFonts w:eastAsia="Times New Roman" w:cs="Calibri"/>
                <w:color w:val="000000"/>
                <w:sz w:val="16"/>
                <w:szCs w:val="16"/>
              </w:rPr>
              <w:t>,5</w:t>
            </w:r>
          </w:p>
        </w:tc>
        <w:tc>
          <w:tcPr>
            <w:tcW w:w="1842" w:type="dxa"/>
            <w:noWrap/>
            <w:hideMark/>
          </w:tcPr>
          <w:p w14:paraId="6F3CFAA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15</w:t>
            </w:r>
          </w:p>
        </w:tc>
        <w:tc>
          <w:tcPr>
            <w:tcW w:w="1560" w:type="dxa"/>
            <w:noWrap/>
            <w:hideMark/>
          </w:tcPr>
          <w:p w14:paraId="116900F6"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w:t>
            </w:r>
          </w:p>
        </w:tc>
        <w:tc>
          <w:tcPr>
            <w:tcW w:w="1559" w:type="dxa"/>
            <w:noWrap/>
            <w:hideMark/>
          </w:tcPr>
          <w:p w14:paraId="04568FA6"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7</w:t>
            </w:r>
          </w:p>
        </w:tc>
      </w:tr>
      <w:tr w:rsidR="005412C5" w:rsidRPr="00561A62" w14:paraId="1CE2AADF"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B7D2038"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Unión de Pequeños Agricultores y Ganaderos</w:t>
            </w:r>
          </w:p>
        </w:tc>
        <w:tc>
          <w:tcPr>
            <w:tcW w:w="1275" w:type="dxa"/>
            <w:noWrap/>
            <w:hideMark/>
          </w:tcPr>
          <w:p w14:paraId="5A49CC9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26,9</w:t>
            </w:r>
          </w:p>
        </w:tc>
        <w:tc>
          <w:tcPr>
            <w:tcW w:w="4962" w:type="dxa"/>
            <w:gridSpan w:val="3"/>
            <w:noWrap/>
            <w:hideMark/>
          </w:tcPr>
          <w:p w14:paraId="5C3A0123"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384A7E79"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1C07357F"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EC1E85B"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Federación Española de Hockey</w:t>
            </w:r>
          </w:p>
        </w:tc>
        <w:tc>
          <w:tcPr>
            <w:tcW w:w="1275" w:type="dxa"/>
            <w:noWrap/>
            <w:hideMark/>
          </w:tcPr>
          <w:p w14:paraId="2FFBBF8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25,5</w:t>
            </w:r>
          </w:p>
        </w:tc>
        <w:tc>
          <w:tcPr>
            <w:tcW w:w="4962" w:type="dxa"/>
            <w:gridSpan w:val="3"/>
            <w:noWrap/>
            <w:hideMark/>
          </w:tcPr>
          <w:p w14:paraId="67EE8689"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44AC2B55"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52EC56E1"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B9C05E7"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Fundación del Toro de lidia</w:t>
            </w:r>
          </w:p>
        </w:tc>
        <w:tc>
          <w:tcPr>
            <w:tcW w:w="1275" w:type="dxa"/>
            <w:noWrap/>
            <w:hideMark/>
          </w:tcPr>
          <w:p w14:paraId="0B9B54A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25</w:t>
            </w:r>
          </w:p>
        </w:tc>
        <w:tc>
          <w:tcPr>
            <w:tcW w:w="1560" w:type="dxa"/>
            <w:noWrap/>
            <w:hideMark/>
          </w:tcPr>
          <w:p w14:paraId="610C1795"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-3,1</w:t>
            </w:r>
          </w:p>
        </w:tc>
        <w:tc>
          <w:tcPr>
            <w:tcW w:w="1842" w:type="dxa"/>
            <w:noWrap/>
            <w:hideMark/>
          </w:tcPr>
          <w:p w14:paraId="27F1ABD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13</w:t>
            </w:r>
          </w:p>
        </w:tc>
        <w:tc>
          <w:tcPr>
            <w:tcW w:w="1560" w:type="dxa"/>
            <w:noWrap/>
            <w:hideMark/>
          </w:tcPr>
          <w:p w14:paraId="7D5907A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w:t>
            </w:r>
          </w:p>
        </w:tc>
        <w:tc>
          <w:tcPr>
            <w:tcW w:w="1559" w:type="dxa"/>
            <w:noWrap/>
            <w:hideMark/>
          </w:tcPr>
          <w:p w14:paraId="5B8686C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50451632"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FCDDB7E" w14:textId="77777777" w:rsidR="005412C5" w:rsidRPr="007B668E" w:rsidRDefault="005412C5" w:rsidP="00BB5F26">
            <w:pPr>
              <w:rPr>
                <w:rFonts w:eastAsia="Times New Roman" w:cs="Calibri"/>
                <w:color w:val="000000"/>
                <w:sz w:val="16"/>
                <w:szCs w:val="16"/>
              </w:rPr>
            </w:pPr>
            <w:r w:rsidRPr="007B668E">
              <w:rPr>
                <w:rFonts w:cs="Calibri"/>
                <w:color w:val="000000"/>
                <w:sz w:val="16"/>
                <w:szCs w:val="16"/>
              </w:rPr>
              <w:t>Fundación Universidad Loyola Andalucía</w:t>
            </w:r>
          </w:p>
        </w:tc>
        <w:tc>
          <w:tcPr>
            <w:tcW w:w="1275" w:type="dxa"/>
            <w:noWrap/>
          </w:tcPr>
          <w:p w14:paraId="276A3DE0"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24,5</w:t>
            </w:r>
          </w:p>
        </w:tc>
        <w:tc>
          <w:tcPr>
            <w:tcW w:w="4962" w:type="dxa"/>
            <w:gridSpan w:val="3"/>
            <w:noWrap/>
          </w:tcPr>
          <w:p w14:paraId="31D490B2"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42BFB9B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2CBC8F89"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5715F26" w14:textId="77777777" w:rsidR="005412C5" w:rsidRPr="007B668E" w:rsidRDefault="005412C5" w:rsidP="00BB5F26">
            <w:pPr>
              <w:rPr>
                <w:rFonts w:eastAsia="Times New Roman" w:cs="Calibri"/>
                <w:color w:val="000000"/>
                <w:sz w:val="16"/>
                <w:szCs w:val="16"/>
              </w:rPr>
            </w:pPr>
            <w:r w:rsidRPr="007B668E">
              <w:rPr>
                <w:rFonts w:cs="Calibri"/>
                <w:color w:val="000000"/>
                <w:sz w:val="16"/>
                <w:szCs w:val="16"/>
              </w:rPr>
              <w:t>Fundación San Rosendo</w:t>
            </w:r>
          </w:p>
        </w:tc>
        <w:tc>
          <w:tcPr>
            <w:tcW w:w="1275" w:type="dxa"/>
            <w:noWrap/>
          </w:tcPr>
          <w:p w14:paraId="695BE64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23,5</w:t>
            </w:r>
          </w:p>
        </w:tc>
        <w:tc>
          <w:tcPr>
            <w:tcW w:w="4962" w:type="dxa"/>
            <w:gridSpan w:val="3"/>
            <w:noWrap/>
          </w:tcPr>
          <w:p w14:paraId="059D4753"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7DC5EA5B"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AB41468"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8DB3297" w14:textId="77777777" w:rsidR="005412C5" w:rsidRPr="007B668E" w:rsidRDefault="005412C5" w:rsidP="00BB5F26">
            <w:pPr>
              <w:rPr>
                <w:rFonts w:eastAsia="Times New Roman" w:cs="Calibri"/>
                <w:color w:val="000000"/>
                <w:sz w:val="16"/>
                <w:szCs w:val="16"/>
              </w:rPr>
            </w:pPr>
            <w:r w:rsidRPr="007B668E">
              <w:rPr>
                <w:rFonts w:cs="Calibri"/>
                <w:color w:val="000000"/>
                <w:sz w:val="16"/>
                <w:szCs w:val="16"/>
              </w:rPr>
              <w:t>Fundación San Valero</w:t>
            </w:r>
          </w:p>
        </w:tc>
        <w:tc>
          <w:tcPr>
            <w:tcW w:w="1275" w:type="dxa"/>
            <w:noWrap/>
          </w:tcPr>
          <w:p w14:paraId="6C30B10E"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23</w:t>
            </w:r>
          </w:p>
        </w:tc>
        <w:tc>
          <w:tcPr>
            <w:tcW w:w="4962" w:type="dxa"/>
            <w:gridSpan w:val="3"/>
            <w:noWrap/>
          </w:tcPr>
          <w:p w14:paraId="23055D00"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1FCD86A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026F652B"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97F9BCB" w14:textId="77777777" w:rsidR="005412C5" w:rsidRPr="007B668E" w:rsidRDefault="005412C5" w:rsidP="00BB5F26">
            <w:pPr>
              <w:rPr>
                <w:rFonts w:eastAsia="Times New Roman" w:cs="Calibri"/>
                <w:color w:val="000000"/>
                <w:sz w:val="16"/>
                <w:szCs w:val="16"/>
              </w:rPr>
            </w:pPr>
            <w:r w:rsidRPr="007B668E">
              <w:rPr>
                <w:rFonts w:cs="Calibri"/>
                <w:color w:val="000000"/>
                <w:sz w:val="16"/>
                <w:szCs w:val="16"/>
              </w:rPr>
              <w:t>Fundación Universitaria San Pablo CEU</w:t>
            </w:r>
          </w:p>
        </w:tc>
        <w:tc>
          <w:tcPr>
            <w:tcW w:w="1275" w:type="dxa"/>
            <w:noWrap/>
          </w:tcPr>
          <w:p w14:paraId="0F88959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21,4</w:t>
            </w:r>
          </w:p>
        </w:tc>
        <w:tc>
          <w:tcPr>
            <w:tcW w:w="4962" w:type="dxa"/>
            <w:gridSpan w:val="3"/>
            <w:noWrap/>
          </w:tcPr>
          <w:p w14:paraId="05DE6E7D"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4141553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FD38D61"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688E6F6" w14:textId="77777777" w:rsidR="005412C5" w:rsidRPr="007B668E" w:rsidRDefault="005412C5" w:rsidP="00BB5F26">
            <w:pPr>
              <w:rPr>
                <w:rFonts w:eastAsia="Times New Roman" w:cs="Calibri"/>
                <w:color w:val="000000"/>
                <w:sz w:val="16"/>
                <w:szCs w:val="16"/>
              </w:rPr>
            </w:pPr>
            <w:r w:rsidRPr="007B668E">
              <w:rPr>
                <w:rFonts w:cs="Calibri"/>
                <w:color w:val="000000"/>
                <w:sz w:val="16"/>
                <w:szCs w:val="16"/>
              </w:rPr>
              <w:t>Asociación Amar-</w:t>
            </w:r>
            <w:proofErr w:type="spellStart"/>
            <w:r w:rsidRPr="007B668E">
              <w:rPr>
                <w:rFonts w:cs="Calibri"/>
                <w:color w:val="000000"/>
                <w:sz w:val="16"/>
                <w:szCs w:val="16"/>
              </w:rPr>
              <w:t>Dragoste</w:t>
            </w:r>
            <w:proofErr w:type="spellEnd"/>
          </w:p>
        </w:tc>
        <w:tc>
          <w:tcPr>
            <w:tcW w:w="1275" w:type="dxa"/>
            <w:noWrap/>
            <w:hideMark/>
          </w:tcPr>
          <w:p w14:paraId="4D1111A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21,4</w:t>
            </w:r>
          </w:p>
        </w:tc>
        <w:tc>
          <w:tcPr>
            <w:tcW w:w="4962" w:type="dxa"/>
            <w:gridSpan w:val="3"/>
            <w:noWrap/>
            <w:hideMark/>
          </w:tcPr>
          <w:p w14:paraId="22DF43E6"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6A3C8BFE"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20DAAE92"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1E3909D" w14:textId="77777777" w:rsidR="005412C5" w:rsidRPr="00561A62" w:rsidRDefault="005412C5" w:rsidP="00BB5F26">
            <w:pPr>
              <w:rPr>
                <w:rFonts w:eastAsia="Times New Roman" w:cs="Calibri"/>
                <w:color w:val="000000"/>
                <w:sz w:val="16"/>
                <w:szCs w:val="16"/>
              </w:rPr>
            </w:pPr>
            <w:proofErr w:type="spellStart"/>
            <w:r>
              <w:rPr>
                <w:rFonts w:eastAsia="Times New Roman" w:cs="Calibri"/>
                <w:color w:val="000000"/>
                <w:sz w:val="16"/>
                <w:szCs w:val="16"/>
              </w:rPr>
              <w:t>Ribercamp</w:t>
            </w:r>
            <w:proofErr w:type="spellEnd"/>
          </w:p>
        </w:tc>
        <w:tc>
          <w:tcPr>
            <w:tcW w:w="1275" w:type="dxa"/>
            <w:noWrap/>
            <w:hideMark/>
          </w:tcPr>
          <w:p w14:paraId="722FB0B9"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20,7</w:t>
            </w:r>
          </w:p>
        </w:tc>
        <w:tc>
          <w:tcPr>
            <w:tcW w:w="1560" w:type="dxa"/>
            <w:noWrap/>
            <w:hideMark/>
          </w:tcPr>
          <w:p w14:paraId="2A9B934F"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14,1</w:t>
            </w:r>
          </w:p>
        </w:tc>
        <w:tc>
          <w:tcPr>
            <w:tcW w:w="1842" w:type="dxa"/>
            <w:noWrap/>
            <w:hideMark/>
          </w:tcPr>
          <w:p w14:paraId="2D6EF8F8"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r>
              <w:rPr>
                <w:rFonts w:eastAsia="Times New Roman" w:cs="Calibri"/>
                <w:color w:val="000000"/>
                <w:sz w:val="16"/>
                <w:szCs w:val="16"/>
              </w:rPr>
              <w:t>5</w:t>
            </w:r>
          </w:p>
        </w:tc>
        <w:tc>
          <w:tcPr>
            <w:tcW w:w="1560" w:type="dxa"/>
            <w:noWrap/>
            <w:hideMark/>
          </w:tcPr>
          <w:p w14:paraId="15520F9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c>
          <w:tcPr>
            <w:tcW w:w="1559" w:type="dxa"/>
            <w:noWrap/>
            <w:hideMark/>
          </w:tcPr>
          <w:p w14:paraId="082C26D7"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11E23CDE"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067CDD1" w14:textId="61D0A412" w:rsidR="005412C5" w:rsidRPr="00561A62" w:rsidRDefault="005412C5" w:rsidP="00BB5F26">
            <w:pPr>
              <w:rPr>
                <w:rFonts w:eastAsia="Times New Roman" w:cs="Calibri"/>
                <w:sz w:val="16"/>
                <w:szCs w:val="16"/>
              </w:rPr>
            </w:pPr>
            <w:r>
              <w:rPr>
                <w:rFonts w:eastAsia="Times New Roman" w:cs="Calibri"/>
                <w:sz w:val="16"/>
                <w:szCs w:val="16"/>
              </w:rPr>
              <w:t>Bureau Ver</w:t>
            </w:r>
            <w:r w:rsidR="00EE3859">
              <w:rPr>
                <w:rFonts w:eastAsia="Times New Roman" w:cs="Calibri"/>
                <w:sz w:val="16"/>
                <w:szCs w:val="16"/>
              </w:rPr>
              <w:t>it</w:t>
            </w:r>
            <w:r>
              <w:rPr>
                <w:rFonts w:eastAsia="Times New Roman" w:cs="Calibri"/>
                <w:sz w:val="16"/>
                <w:szCs w:val="16"/>
              </w:rPr>
              <w:t>as</w:t>
            </w:r>
          </w:p>
        </w:tc>
        <w:tc>
          <w:tcPr>
            <w:tcW w:w="1275" w:type="dxa"/>
            <w:noWrap/>
            <w:hideMark/>
          </w:tcPr>
          <w:p w14:paraId="294F75F0"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19,8</w:t>
            </w:r>
          </w:p>
        </w:tc>
        <w:tc>
          <w:tcPr>
            <w:tcW w:w="1560" w:type="dxa"/>
            <w:noWrap/>
            <w:hideMark/>
          </w:tcPr>
          <w:p w14:paraId="686C35B4"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-22,5</w:t>
            </w:r>
          </w:p>
        </w:tc>
        <w:tc>
          <w:tcPr>
            <w:tcW w:w="1842" w:type="dxa"/>
            <w:noWrap/>
            <w:hideMark/>
          </w:tcPr>
          <w:p w14:paraId="1A55277D"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w:t>
            </w:r>
            <w:r>
              <w:rPr>
                <w:rFonts w:eastAsia="Times New Roman" w:cs="Calibri"/>
                <w:color w:val="000000"/>
                <w:sz w:val="16"/>
                <w:szCs w:val="16"/>
              </w:rPr>
              <w:t>5</w:t>
            </w:r>
          </w:p>
        </w:tc>
        <w:tc>
          <w:tcPr>
            <w:tcW w:w="1560" w:type="dxa"/>
            <w:noWrap/>
            <w:hideMark/>
          </w:tcPr>
          <w:p w14:paraId="4FD8ABDE"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559" w:type="dxa"/>
            <w:noWrap/>
            <w:hideMark/>
          </w:tcPr>
          <w:p w14:paraId="46464C19"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963F7A5"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F45C5B3" w14:textId="2575F69B" w:rsidR="005412C5" w:rsidRPr="00561A62" w:rsidRDefault="005412C5" w:rsidP="00BB5F26">
            <w:pPr>
              <w:rPr>
                <w:rFonts w:eastAsia="Times New Roman" w:cs="Calibri"/>
                <w:color w:val="000000"/>
                <w:sz w:val="16"/>
                <w:szCs w:val="16"/>
              </w:rPr>
            </w:pPr>
            <w:proofErr w:type="spellStart"/>
            <w:r>
              <w:rPr>
                <w:rFonts w:eastAsia="Times New Roman" w:cs="Calibri"/>
                <w:color w:val="000000"/>
                <w:sz w:val="16"/>
                <w:szCs w:val="16"/>
              </w:rPr>
              <w:t>A</w:t>
            </w:r>
            <w:r w:rsidR="00EE3859">
              <w:rPr>
                <w:rFonts w:eastAsia="Times New Roman" w:cs="Calibri"/>
                <w:color w:val="000000"/>
                <w:sz w:val="16"/>
                <w:szCs w:val="16"/>
              </w:rPr>
              <w:t>r</w:t>
            </w:r>
            <w:r>
              <w:rPr>
                <w:rFonts w:eastAsia="Times New Roman" w:cs="Calibri"/>
                <w:color w:val="000000"/>
                <w:sz w:val="16"/>
                <w:szCs w:val="16"/>
              </w:rPr>
              <w:t>celor</w:t>
            </w:r>
            <w:r w:rsidR="00EE3859">
              <w:rPr>
                <w:rFonts w:eastAsia="Times New Roman" w:cs="Calibri"/>
                <w:color w:val="000000"/>
                <w:sz w:val="16"/>
                <w:szCs w:val="16"/>
              </w:rPr>
              <w:t>M</w:t>
            </w:r>
            <w:r>
              <w:rPr>
                <w:rFonts w:eastAsia="Times New Roman" w:cs="Calibri"/>
                <w:color w:val="000000"/>
                <w:sz w:val="16"/>
                <w:szCs w:val="16"/>
              </w:rPr>
              <w:t>ittal</w:t>
            </w:r>
            <w:proofErr w:type="spellEnd"/>
            <w:r>
              <w:rPr>
                <w:rFonts w:eastAsia="Times New Roman" w:cs="Calibri"/>
                <w:color w:val="000000"/>
                <w:sz w:val="16"/>
                <w:szCs w:val="16"/>
              </w:rPr>
              <w:t xml:space="preserve"> España</w:t>
            </w:r>
          </w:p>
        </w:tc>
        <w:tc>
          <w:tcPr>
            <w:tcW w:w="1275" w:type="dxa"/>
            <w:noWrap/>
            <w:hideMark/>
          </w:tcPr>
          <w:p w14:paraId="22BE2E95"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19,8</w:t>
            </w:r>
          </w:p>
        </w:tc>
        <w:tc>
          <w:tcPr>
            <w:tcW w:w="4962" w:type="dxa"/>
            <w:gridSpan w:val="3"/>
            <w:noWrap/>
            <w:hideMark/>
          </w:tcPr>
          <w:p w14:paraId="750DD9B3"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2F65A47C"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E702132"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B206389" w14:textId="77777777" w:rsidR="005412C5" w:rsidRPr="00561A62" w:rsidRDefault="005412C5" w:rsidP="00BB5F26">
            <w:pPr>
              <w:rPr>
                <w:rFonts w:eastAsia="Times New Roman" w:cs="Calibri"/>
                <w:color w:val="000000"/>
                <w:sz w:val="16"/>
                <w:szCs w:val="16"/>
              </w:rPr>
            </w:pPr>
            <w:r>
              <w:rPr>
                <w:rFonts w:eastAsia="Times New Roman" w:cs="Calibri"/>
                <w:color w:val="000000"/>
                <w:sz w:val="16"/>
                <w:szCs w:val="16"/>
              </w:rPr>
              <w:t>FCC Aqualia</w:t>
            </w:r>
          </w:p>
        </w:tc>
        <w:tc>
          <w:tcPr>
            <w:tcW w:w="1275" w:type="dxa"/>
            <w:noWrap/>
          </w:tcPr>
          <w:p w14:paraId="64975C8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19,8</w:t>
            </w:r>
          </w:p>
        </w:tc>
        <w:tc>
          <w:tcPr>
            <w:tcW w:w="4962" w:type="dxa"/>
            <w:gridSpan w:val="3"/>
            <w:noWrap/>
            <w:hideMark/>
          </w:tcPr>
          <w:p w14:paraId="1DC4A39F"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1BC5CDAD"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C2279E0"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EB6293E" w14:textId="77777777" w:rsidR="005412C5" w:rsidRPr="00561A62" w:rsidRDefault="005412C5" w:rsidP="00BB5F26">
            <w:pPr>
              <w:rPr>
                <w:rFonts w:eastAsia="Times New Roman" w:cs="Calibri"/>
                <w:color w:val="000000"/>
                <w:sz w:val="16"/>
                <w:szCs w:val="16"/>
              </w:rPr>
            </w:pPr>
            <w:r w:rsidRPr="009C49B0">
              <w:rPr>
                <w:rFonts w:eastAsia="Times New Roman" w:cs="Calibri"/>
                <w:color w:val="000000"/>
                <w:sz w:val="16"/>
                <w:szCs w:val="16"/>
              </w:rPr>
              <w:t>Confederación Española de Asociaciones de Jóvenes Empresarios</w:t>
            </w:r>
          </w:p>
        </w:tc>
        <w:tc>
          <w:tcPr>
            <w:tcW w:w="1275" w:type="dxa"/>
            <w:noWrap/>
            <w:hideMark/>
          </w:tcPr>
          <w:p w14:paraId="2D592490"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19,2</w:t>
            </w:r>
          </w:p>
        </w:tc>
        <w:tc>
          <w:tcPr>
            <w:tcW w:w="1560" w:type="dxa"/>
            <w:noWrap/>
            <w:hideMark/>
          </w:tcPr>
          <w:p w14:paraId="4FDC77A9"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842" w:type="dxa"/>
          </w:tcPr>
          <w:p w14:paraId="57E775F2"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14</w:t>
            </w:r>
          </w:p>
        </w:tc>
        <w:tc>
          <w:tcPr>
            <w:tcW w:w="1560" w:type="dxa"/>
          </w:tcPr>
          <w:p w14:paraId="65A49FC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559" w:type="dxa"/>
            <w:noWrap/>
            <w:hideMark/>
          </w:tcPr>
          <w:p w14:paraId="779361F9"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6F297B0E"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1AA804A"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 xml:space="preserve">Fundación </w:t>
            </w:r>
            <w:r>
              <w:rPr>
                <w:rFonts w:eastAsia="Times New Roman" w:cs="Calibri"/>
                <w:color w:val="000000"/>
                <w:sz w:val="16"/>
                <w:szCs w:val="16"/>
              </w:rPr>
              <w:t>Archivo Manuel de Falla</w:t>
            </w:r>
          </w:p>
        </w:tc>
        <w:tc>
          <w:tcPr>
            <w:tcW w:w="1275" w:type="dxa"/>
            <w:noWrap/>
            <w:hideMark/>
          </w:tcPr>
          <w:p w14:paraId="0508386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19,2</w:t>
            </w:r>
          </w:p>
        </w:tc>
        <w:tc>
          <w:tcPr>
            <w:tcW w:w="4962" w:type="dxa"/>
            <w:gridSpan w:val="3"/>
            <w:noWrap/>
            <w:hideMark/>
          </w:tcPr>
          <w:p w14:paraId="27679C23"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4CDDAC5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464F39D8"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562AA65" w14:textId="77777777" w:rsidR="005412C5" w:rsidRPr="00561A62" w:rsidRDefault="005412C5" w:rsidP="00BB5F26">
            <w:pPr>
              <w:rPr>
                <w:rFonts w:eastAsia="Times New Roman" w:cs="Calibri"/>
                <w:sz w:val="16"/>
                <w:szCs w:val="16"/>
              </w:rPr>
            </w:pPr>
            <w:r>
              <w:rPr>
                <w:rFonts w:eastAsia="Times New Roman" w:cs="Calibri"/>
                <w:sz w:val="16"/>
                <w:szCs w:val="16"/>
              </w:rPr>
              <w:t xml:space="preserve">Fundación </w:t>
            </w:r>
            <w:proofErr w:type="spellStart"/>
            <w:r>
              <w:rPr>
                <w:rFonts w:eastAsia="Times New Roman" w:cs="Calibri"/>
                <w:sz w:val="16"/>
                <w:szCs w:val="16"/>
              </w:rPr>
              <w:t>Tecnova</w:t>
            </w:r>
            <w:proofErr w:type="spellEnd"/>
          </w:p>
        </w:tc>
        <w:tc>
          <w:tcPr>
            <w:tcW w:w="1275" w:type="dxa"/>
            <w:noWrap/>
            <w:hideMark/>
          </w:tcPr>
          <w:p w14:paraId="552FA428"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18,4</w:t>
            </w:r>
          </w:p>
        </w:tc>
        <w:tc>
          <w:tcPr>
            <w:tcW w:w="1560" w:type="dxa"/>
            <w:noWrap/>
            <w:hideMark/>
          </w:tcPr>
          <w:p w14:paraId="1FB9669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842" w:type="dxa"/>
            <w:noWrap/>
            <w:hideMark/>
          </w:tcPr>
          <w:p w14:paraId="26A1F425"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14</w:t>
            </w:r>
          </w:p>
        </w:tc>
        <w:tc>
          <w:tcPr>
            <w:tcW w:w="1560" w:type="dxa"/>
            <w:noWrap/>
            <w:hideMark/>
          </w:tcPr>
          <w:p w14:paraId="2E1FECE2"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0</w:t>
            </w:r>
          </w:p>
        </w:tc>
        <w:tc>
          <w:tcPr>
            <w:tcW w:w="1559" w:type="dxa"/>
            <w:noWrap/>
            <w:hideMark/>
          </w:tcPr>
          <w:p w14:paraId="19CF71D8"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1139269C"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86AED28" w14:textId="77777777" w:rsidR="005412C5" w:rsidRPr="0094287C" w:rsidRDefault="005412C5" w:rsidP="00BB5F26">
            <w:pPr>
              <w:rPr>
                <w:rFonts w:eastAsia="Times New Roman" w:cs="Calibri"/>
                <w:color w:val="000000"/>
                <w:sz w:val="16"/>
                <w:szCs w:val="16"/>
              </w:rPr>
            </w:pPr>
            <w:r w:rsidRPr="0094287C">
              <w:rPr>
                <w:sz w:val="16"/>
                <w:szCs w:val="16"/>
              </w:rPr>
              <w:t>Federación de Mujeres Progresistas</w:t>
            </w:r>
          </w:p>
        </w:tc>
        <w:tc>
          <w:tcPr>
            <w:tcW w:w="1275" w:type="dxa"/>
            <w:noWrap/>
          </w:tcPr>
          <w:p w14:paraId="691901A1"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18,4</w:t>
            </w:r>
          </w:p>
        </w:tc>
        <w:tc>
          <w:tcPr>
            <w:tcW w:w="4962" w:type="dxa"/>
            <w:gridSpan w:val="3"/>
            <w:noWrap/>
          </w:tcPr>
          <w:p w14:paraId="7F605F1E"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2F2DF5BD"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34F5091D"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588AE512" w14:textId="77777777" w:rsidR="005412C5" w:rsidRPr="0094287C" w:rsidRDefault="005412C5" w:rsidP="00BB5F26">
            <w:pPr>
              <w:rPr>
                <w:rFonts w:eastAsia="Times New Roman" w:cs="Calibri"/>
                <w:color w:val="000000"/>
                <w:sz w:val="16"/>
                <w:szCs w:val="16"/>
              </w:rPr>
            </w:pPr>
            <w:r w:rsidRPr="0094287C">
              <w:rPr>
                <w:sz w:val="16"/>
                <w:szCs w:val="16"/>
              </w:rPr>
              <w:t xml:space="preserve">Fundación </w:t>
            </w:r>
            <w:proofErr w:type="spellStart"/>
            <w:r w:rsidRPr="0094287C">
              <w:rPr>
                <w:sz w:val="16"/>
                <w:szCs w:val="16"/>
              </w:rPr>
              <w:t>Cidaut</w:t>
            </w:r>
            <w:proofErr w:type="spellEnd"/>
          </w:p>
        </w:tc>
        <w:tc>
          <w:tcPr>
            <w:tcW w:w="1275" w:type="dxa"/>
            <w:noWrap/>
          </w:tcPr>
          <w:p w14:paraId="6382B86E"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17,8</w:t>
            </w:r>
          </w:p>
        </w:tc>
        <w:tc>
          <w:tcPr>
            <w:tcW w:w="4962" w:type="dxa"/>
            <w:gridSpan w:val="3"/>
            <w:noWrap/>
          </w:tcPr>
          <w:p w14:paraId="28EA4C73"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3F838E40"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0D377C6"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76B6B89" w14:textId="77777777" w:rsidR="005412C5" w:rsidRPr="0094287C" w:rsidRDefault="005412C5" w:rsidP="00BB5F26">
            <w:pPr>
              <w:rPr>
                <w:rFonts w:eastAsia="Times New Roman" w:cs="Calibri"/>
                <w:color w:val="000000"/>
                <w:sz w:val="16"/>
                <w:szCs w:val="16"/>
              </w:rPr>
            </w:pPr>
            <w:proofErr w:type="spellStart"/>
            <w:r w:rsidRPr="0094287C">
              <w:rPr>
                <w:sz w:val="16"/>
                <w:szCs w:val="16"/>
              </w:rPr>
              <w:t>Semidyamics</w:t>
            </w:r>
            <w:proofErr w:type="spellEnd"/>
            <w:r w:rsidRPr="0094287C">
              <w:rPr>
                <w:sz w:val="16"/>
                <w:szCs w:val="16"/>
              </w:rPr>
              <w:t xml:space="preserve"> </w:t>
            </w:r>
            <w:proofErr w:type="spellStart"/>
            <w:r w:rsidRPr="0094287C">
              <w:rPr>
                <w:sz w:val="16"/>
                <w:szCs w:val="16"/>
              </w:rPr>
              <w:t>Technology</w:t>
            </w:r>
            <w:proofErr w:type="spellEnd"/>
            <w:r w:rsidRPr="0094287C">
              <w:rPr>
                <w:sz w:val="16"/>
                <w:szCs w:val="16"/>
              </w:rPr>
              <w:t xml:space="preserve"> </w:t>
            </w:r>
            <w:proofErr w:type="spellStart"/>
            <w:r w:rsidRPr="0094287C">
              <w:rPr>
                <w:sz w:val="16"/>
                <w:szCs w:val="16"/>
              </w:rPr>
              <w:t>Services</w:t>
            </w:r>
            <w:proofErr w:type="spellEnd"/>
          </w:p>
        </w:tc>
        <w:tc>
          <w:tcPr>
            <w:tcW w:w="1275" w:type="dxa"/>
            <w:noWrap/>
          </w:tcPr>
          <w:p w14:paraId="2F0943F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17,5</w:t>
            </w:r>
          </w:p>
        </w:tc>
        <w:tc>
          <w:tcPr>
            <w:tcW w:w="4962" w:type="dxa"/>
            <w:gridSpan w:val="3"/>
            <w:noWrap/>
            <w:hideMark/>
          </w:tcPr>
          <w:p w14:paraId="1181CC87"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3B901070"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239B532"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BA6ADA9" w14:textId="77777777" w:rsidR="005412C5" w:rsidRPr="0094287C" w:rsidRDefault="005412C5" w:rsidP="00BB5F26">
            <w:pPr>
              <w:rPr>
                <w:rFonts w:eastAsia="Times New Roman" w:cs="Calibri"/>
                <w:color w:val="000000"/>
                <w:sz w:val="16"/>
                <w:szCs w:val="16"/>
              </w:rPr>
            </w:pPr>
            <w:r w:rsidRPr="0094287C">
              <w:rPr>
                <w:sz w:val="16"/>
                <w:szCs w:val="16"/>
              </w:rPr>
              <w:t>Alúmina Española</w:t>
            </w:r>
          </w:p>
        </w:tc>
        <w:tc>
          <w:tcPr>
            <w:tcW w:w="1275" w:type="dxa"/>
            <w:noWrap/>
          </w:tcPr>
          <w:p w14:paraId="74611837"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15,9</w:t>
            </w:r>
          </w:p>
        </w:tc>
        <w:tc>
          <w:tcPr>
            <w:tcW w:w="4962" w:type="dxa"/>
            <w:gridSpan w:val="3"/>
            <w:noWrap/>
            <w:hideMark/>
          </w:tcPr>
          <w:p w14:paraId="4BEADE81"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hideMark/>
          </w:tcPr>
          <w:p w14:paraId="0C66E3B1"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86A2CB8"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5AE92C55" w14:textId="77777777" w:rsidR="005412C5" w:rsidRPr="0094287C" w:rsidRDefault="005412C5" w:rsidP="00BB5F26">
            <w:pPr>
              <w:rPr>
                <w:rFonts w:eastAsia="Times New Roman" w:cs="Calibri"/>
                <w:color w:val="000000"/>
                <w:sz w:val="16"/>
                <w:szCs w:val="16"/>
              </w:rPr>
            </w:pPr>
            <w:proofErr w:type="spellStart"/>
            <w:r w:rsidRPr="0094287C">
              <w:rPr>
                <w:sz w:val="16"/>
                <w:szCs w:val="16"/>
              </w:rPr>
              <w:t>Euroarce</w:t>
            </w:r>
            <w:proofErr w:type="spellEnd"/>
            <w:r w:rsidRPr="0094287C">
              <w:rPr>
                <w:sz w:val="16"/>
                <w:szCs w:val="16"/>
              </w:rPr>
              <w:t xml:space="preserve"> Minería</w:t>
            </w:r>
          </w:p>
        </w:tc>
        <w:tc>
          <w:tcPr>
            <w:tcW w:w="1275" w:type="dxa"/>
            <w:noWrap/>
          </w:tcPr>
          <w:p w14:paraId="3E56ABA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14,3</w:t>
            </w:r>
          </w:p>
        </w:tc>
        <w:tc>
          <w:tcPr>
            <w:tcW w:w="4962" w:type="dxa"/>
            <w:gridSpan w:val="3"/>
            <w:noWrap/>
          </w:tcPr>
          <w:p w14:paraId="1E04A374"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32FF54EF"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175D9EB7"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C4244CA" w14:textId="77777777" w:rsidR="005412C5" w:rsidRPr="0094287C" w:rsidRDefault="005412C5" w:rsidP="00BB5F26">
            <w:pPr>
              <w:rPr>
                <w:rFonts w:eastAsia="Times New Roman" w:cs="Calibri"/>
                <w:color w:val="000000"/>
                <w:sz w:val="16"/>
                <w:szCs w:val="16"/>
              </w:rPr>
            </w:pPr>
            <w:r w:rsidRPr="0094287C">
              <w:rPr>
                <w:sz w:val="16"/>
                <w:szCs w:val="16"/>
              </w:rPr>
              <w:t xml:space="preserve">Asociación Instituto Tecnológico de Informática </w:t>
            </w:r>
          </w:p>
        </w:tc>
        <w:tc>
          <w:tcPr>
            <w:tcW w:w="1275" w:type="dxa"/>
            <w:noWrap/>
          </w:tcPr>
          <w:p w14:paraId="4555F13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14,3</w:t>
            </w:r>
          </w:p>
        </w:tc>
        <w:tc>
          <w:tcPr>
            <w:tcW w:w="4962" w:type="dxa"/>
            <w:gridSpan w:val="3"/>
            <w:noWrap/>
          </w:tcPr>
          <w:p w14:paraId="0D12CFBA"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25B7CDC4"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4</w:t>
            </w:r>
          </w:p>
        </w:tc>
      </w:tr>
      <w:tr w:rsidR="005412C5" w:rsidRPr="00561A62" w14:paraId="138AD95F"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7D9E8308" w14:textId="77777777" w:rsidR="005412C5" w:rsidRPr="0094287C" w:rsidRDefault="005412C5" w:rsidP="00BB5F26">
            <w:pPr>
              <w:rPr>
                <w:rFonts w:eastAsia="Times New Roman" w:cs="Calibri"/>
                <w:color w:val="000000"/>
                <w:sz w:val="16"/>
                <w:szCs w:val="16"/>
              </w:rPr>
            </w:pPr>
            <w:r w:rsidRPr="0094287C">
              <w:rPr>
                <w:sz w:val="16"/>
                <w:szCs w:val="16"/>
              </w:rPr>
              <w:t>Asturiana de Zinc</w:t>
            </w:r>
          </w:p>
        </w:tc>
        <w:tc>
          <w:tcPr>
            <w:tcW w:w="1275" w:type="dxa"/>
            <w:noWrap/>
          </w:tcPr>
          <w:p w14:paraId="4515BEB8"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13,2</w:t>
            </w:r>
          </w:p>
        </w:tc>
        <w:tc>
          <w:tcPr>
            <w:tcW w:w="4962" w:type="dxa"/>
            <w:gridSpan w:val="3"/>
            <w:noWrap/>
          </w:tcPr>
          <w:p w14:paraId="6E427993"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073EE95A"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4FB64180"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50C1C36A" w14:textId="77777777" w:rsidR="005412C5" w:rsidRPr="0094287C" w:rsidRDefault="005412C5" w:rsidP="00BB5F26">
            <w:pPr>
              <w:rPr>
                <w:rFonts w:eastAsia="Times New Roman" w:cs="Calibri"/>
                <w:color w:val="000000"/>
                <w:sz w:val="16"/>
                <w:szCs w:val="16"/>
              </w:rPr>
            </w:pPr>
            <w:r w:rsidRPr="0094287C">
              <w:rPr>
                <w:sz w:val="16"/>
                <w:szCs w:val="16"/>
              </w:rPr>
              <w:t xml:space="preserve">Orange </w:t>
            </w:r>
            <w:proofErr w:type="spellStart"/>
            <w:r w:rsidRPr="0094287C">
              <w:rPr>
                <w:sz w:val="16"/>
                <w:szCs w:val="16"/>
              </w:rPr>
              <w:t>Espagne</w:t>
            </w:r>
            <w:proofErr w:type="spellEnd"/>
          </w:p>
        </w:tc>
        <w:tc>
          <w:tcPr>
            <w:tcW w:w="1275" w:type="dxa"/>
            <w:noWrap/>
          </w:tcPr>
          <w:p w14:paraId="3472924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13,2</w:t>
            </w:r>
          </w:p>
        </w:tc>
        <w:tc>
          <w:tcPr>
            <w:tcW w:w="4962" w:type="dxa"/>
            <w:gridSpan w:val="3"/>
            <w:noWrap/>
          </w:tcPr>
          <w:p w14:paraId="2A6350D1"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3F202849"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4248F63A"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1DFBA232" w14:textId="77777777" w:rsidR="005412C5" w:rsidRPr="0094287C" w:rsidRDefault="005412C5" w:rsidP="00BB5F26">
            <w:pPr>
              <w:rPr>
                <w:rFonts w:eastAsia="Times New Roman" w:cs="Calibri"/>
                <w:color w:val="000000"/>
                <w:sz w:val="16"/>
                <w:szCs w:val="16"/>
              </w:rPr>
            </w:pPr>
            <w:r w:rsidRPr="0094287C">
              <w:rPr>
                <w:sz w:val="16"/>
                <w:szCs w:val="16"/>
              </w:rPr>
              <w:t>Asociación Interprofesional del Cerdo Ibérico</w:t>
            </w:r>
          </w:p>
        </w:tc>
        <w:tc>
          <w:tcPr>
            <w:tcW w:w="1275" w:type="dxa"/>
            <w:noWrap/>
          </w:tcPr>
          <w:p w14:paraId="598A11B5"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12,2</w:t>
            </w:r>
          </w:p>
        </w:tc>
        <w:tc>
          <w:tcPr>
            <w:tcW w:w="4962" w:type="dxa"/>
            <w:gridSpan w:val="3"/>
            <w:noWrap/>
          </w:tcPr>
          <w:p w14:paraId="20D639C7"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557345C8"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55172C30"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041AF07B" w14:textId="77777777" w:rsidR="005412C5" w:rsidRPr="0094287C" w:rsidRDefault="005412C5" w:rsidP="00BB5F26">
            <w:pPr>
              <w:rPr>
                <w:rFonts w:eastAsia="Times New Roman" w:cs="Calibri"/>
                <w:color w:val="000000"/>
                <w:sz w:val="16"/>
                <w:szCs w:val="16"/>
              </w:rPr>
            </w:pPr>
            <w:r w:rsidRPr="0094287C">
              <w:rPr>
                <w:sz w:val="16"/>
                <w:szCs w:val="16"/>
              </w:rPr>
              <w:t>CTNC</w:t>
            </w:r>
          </w:p>
        </w:tc>
        <w:tc>
          <w:tcPr>
            <w:tcW w:w="1275" w:type="dxa"/>
            <w:noWrap/>
          </w:tcPr>
          <w:p w14:paraId="18885742"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9,2</w:t>
            </w:r>
          </w:p>
        </w:tc>
        <w:tc>
          <w:tcPr>
            <w:tcW w:w="4962" w:type="dxa"/>
            <w:gridSpan w:val="3"/>
            <w:noWrap/>
          </w:tcPr>
          <w:p w14:paraId="418837C6"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21D074A2"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3D93E63E"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75071642" w14:textId="77777777" w:rsidR="005412C5" w:rsidRPr="0094287C" w:rsidRDefault="005412C5" w:rsidP="00BB5F26">
            <w:pPr>
              <w:rPr>
                <w:rFonts w:eastAsia="Times New Roman" w:cs="Calibri"/>
                <w:color w:val="000000"/>
                <w:sz w:val="16"/>
                <w:szCs w:val="16"/>
              </w:rPr>
            </w:pPr>
            <w:proofErr w:type="spellStart"/>
            <w:r w:rsidRPr="0094287C">
              <w:rPr>
                <w:sz w:val="16"/>
                <w:szCs w:val="16"/>
              </w:rPr>
              <w:t>Anemur</w:t>
            </w:r>
            <w:proofErr w:type="spellEnd"/>
          </w:p>
        </w:tc>
        <w:tc>
          <w:tcPr>
            <w:tcW w:w="1275" w:type="dxa"/>
            <w:noWrap/>
          </w:tcPr>
          <w:p w14:paraId="2BEDE69A"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7,1</w:t>
            </w:r>
          </w:p>
        </w:tc>
        <w:tc>
          <w:tcPr>
            <w:tcW w:w="4962" w:type="dxa"/>
            <w:gridSpan w:val="3"/>
            <w:noWrap/>
          </w:tcPr>
          <w:p w14:paraId="60B468E7"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Primera evaluación en 202</w:t>
            </w:r>
            <w:r>
              <w:rPr>
                <w:rFonts w:eastAsia="Times New Roman" w:cs="Calibri"/>
                <w:color w:val="000000"/>
                <w:sz w:val="16"/>
                <w:szCs w:val="16"/>
              </w:rPr>
              <w:t>5</w:t>
            </w:r>
          </w:p>
        </w:tc>
        <w:tc>
          <w:tcPr>
            <w:tcW w:w="1559" w:type="dxa"/>
            <w:noWrap/>
          </w:tcPr>
          <w:p w14:paraId="04294049"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3364AD63"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DF4BB6D" w14:textId="77777777" w:rsidR="005412C5" w:rsidRPr="00561A62" w:rsidRDefault="005412C5" w:rsidP="00BB5F26">
            <w:pPr>
              <w:rPr>
                <w:rFonts w:eastAsia="Times New Roman" w:cs="Calibri"/>
                <w:color w:val="000000"/>
                <w:sz w:val="16"/>
                <w:szCs w:val="16"/>
              </w:rPr>
            </w:pPr>
            <w:proofErr w:type="spellStart"/>
            <w:r w:rsidRPr="00561A62">
              <w:rPr>
                <w:rFonts w:eastAsia="Times New Roman" w:cs="Calibri"/>
                <w:color w:val="000000"/>
                <w:sz w:val="16"/>
                <w:szCs w:val="16"/>
              </w:rPr>
              <w:t>Torraspapel</w:t>
            </w:r>
            <w:proofErr w:type="spellEnd"/>
            <w:r w:rsidRPr="00561A62">
              <w:rPr>
                <w:rFonts w:eastAsia="Times New Roman" w:cs="Calibri"/>
                <w:color w:val="000000"/>
                <w:sz w:val="16"/>
                <w:szCs w:val="16"/>
              </w:rPr>
              <w:t>, S.A.</w:t>
            </w:r>
          </w:p>
        </w:tc>
        <w:tc>
          <w:tcPr>
            <w:tcW w:w="1275" w:type="dxa"/>
            <w:noWrap/>
          </w:tcPr>
          <w:p w14:paraId="60C73BCF"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1560" w:type="dxa"/>
            <w:noWrap/>
            <w:hideMark/>
          </w:tcPr>
          <w:p w14:paraId="564E4DB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842" w:type="dxa"/>
            <w:noWrap/>
            <w:hideMark/>
          </w:tcPr>
          <w:p w14:paraId="150927D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15</w:t>
            </w:r>
          </w:p>
        </w:tc>
        <w:tc>
          <w:tcPr>
            <w:tcW w:w="1560" w:type="dxa"/>
            <w:noWrap/>
            <w:hideMark/>
          </w:tcPr>
          <w:p w14:paraId="1B498D2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559" w:type="dxa"/>
            <w:noWrap/>
            <w:hideMark/>
          </w:tcPr>
          <w:p w14:paraId="6FB950FB"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A48B3AF"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85C80B6" w14:textId="77777777" w:rsidR="005412C5" w:rsidRPr="00561A62" w:rsidRDefault="005412C5" w:rsidP="00BB5F26">
            <w:pPr>
              <w:rPr>
                <w:rFonts w:eastAsia="Times New Roman" w:cs="Calibri"/>
                <w:color w:val="000000"/>
                <w:sz w:val="16"/>
                <w:szCs w:val="16"/>
              </w:rPr>
            </w:pPr>
            <w:r w:rsidRPr="00561A62">
              <w:rPr>
                <w:rFonts w:eastAsia="Times New Roman" w:cs="Calibri"/>
                <w:color w:val="000000"/>
                <w:sz w:val="16"/>
                <w:szCs w:val="16"/>
              </w:rPr>
              <w:t>Solidaridad y Trabajo Virgen del Camino, S.L.</w:t>
            </w:r>
          </w:p>
        </w:tc>
        <w:tc>
          <w:tcPr>
            <w:tcW w:w="1275" w:type="dxa"/>
            <w:noWrap/>
          </w:tcPr>
          <w:p w14:paraId="4FC2A679"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1560" w:type="dxa"/>
            <w:noWrap/>
            <w:hideMark/>
          </w:tcPr>
          <w:p w14:paraId="7979606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842" w:type="dxa"/>
            <w:noWrap/>
            <w:hideMark/>
          </w:tcPr>
          <w:p w14:paraId="407501BA"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15</w:t>
            </w:r>
          </w:p>
        </w:tc>
        <w:tc>
          <w:tcPr>
            <w:tcW w:w="1560" w:type="dxa"/>
            <w:noWrap/>
            <w:hideMark/>
          </w:tcPr>
          <w:p w14:paraId="63D00506"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559" w:type="dxa"/>
            <w:noWrap/>
            <w:hideMark/>
          </w:tcPr>
          <w:p w14:paraId="3E5DA9D2"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1F194FA7"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222049C" w14:textId="77777777" w:rsidR="005412C5" w:rsidRPr="00561A62" w:rsidRDefault="005412C5" w:rsidP="00BB5F26">
            <w:pPr>
              <w:rPr>
                <w:rFonts w:eastAsia="Times New Roman" w:cs="Calibri"/>
                <w:color w:val="000000"/>
                <w:sz w:val="16"/>
                <w:szCs w:val="16"/>
              </w:rPr>
            </w:pPr>
            <w:proofErr w:type="spellStart"/>
            <w:r w:rsidRPr="00561A62">
              <w:rPr>
                <w:rFonts w:eastAsia="Times New Roman" w:cs="Calibri"/>
                <w:color w:val="000000"/>
                <w:sz w:val="16"/>
                <w:szCs w:val="16"/>
              </w:rPr>
              <w:t>Avateltelecom</w:t>
            </w:r>
            <w:proofErr w:type="spellEnd"/>
            <w:r w:rsidRPr="00561A62">
              <w:rPr>
                <w:rFonts w:eastAsia="Times New Roman" w:cs="Calibri"/>
                <w:color w:val="000000"/>
                <w:sz w:val="16"/>
                <w:szCs w:val="16"/>
              </w:rPr>
              <w:t>, S.A.</w:t>
            </w:r>
          </w:p>
        </w:tc>
        <w:tc>
          <w:tcPr>
            <w:tcW w:w="1275" w:type="dxa"/>
            <w:noWrap/>
          </w:tcPr>
          <w:p w14:paraId="2E17ABD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1560" w:type="dxa"/>
            <w:noWrap/>
            <w:hideMark/>
          </w:tcPr>
          <w:p w14:paraId="5D272DE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Pr>
                <w:rFonts w:eastAsia="Times New Roman" w:cs="Calibri"/>
                <w:color w:val="000000"/>
                <w:sz w:val="16"/>
                <w:szCs w:val="16"/>
              </w:rPr>
              <w:t>-7,7</w:t>
            </w:r>
          </w:p>
        </w:tc>
        <w:tc>
          <w:tcPr>
            <w:tcW w:w="1842" w:type="dxa"/>
            <w:noWrap/>
            <w:hideMark/>
          </w:tcPr>
          <w:p w14:paraId="431964AA"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14</w:t>
            </w:r>
          </w:p>
        </w:tc>
        <w:tc>
          <w:tcPr>
            <w:tcW w:w="1560" w:type="dxa"/>
            <w:noWrap/>
            <w:hideMark/>
          </w:tcPr>
          <w:p w14:paraId="4037B4DC"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561A62">
              <w:rPr>
                <w:rFonts w:eastAsia="Times New Roman" w:cs="Calibri"/>
                <w:color w:val="000000"/>
                <w:sz w:val="16"/>
                <w:szCs w:val="16"/>
              </w:rPr>
              <w:t>0</w:t>
            </w:r>
          </w:p>
        </w:tc>
        <w:tc>
          <w:tcPr>
            <w:tcW w:w="1559" w:type="dxa"/>
            <w:noWrap/>
            <w:hideMark/>
          </w:tcPr>
          <w:p w14:paraId="3422335D"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7E8FB358"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29117D7B" w14:textId="77777777" w:rsidR="005412C5" w:rsidRPr="00EC330A" w:rsidRDefault="005412C5" w:rsidP="00BB5F26">
            <w:pPr>
              <w:rPr>
                <w:rFonts w:eastAsia="Times New Roman" w:cs="Calibri"/>
                <w:color w:val="000000"/>
                <w:sz w:val="16"/>
                <w:szCs w:val="16"/>
              </w:rPr>
            </w:pPr>
            <w:proofErr w:type="spellStart"/>
            <w:r w:rsidRPr="00EC330A">
              <w:rPr>
                <w:sz w:val="16"/>
                <w:szCs w:val="16"/>
              </w:rPr>
              <w:t>Envision</w:t>
            </w:r>
            <w:proofErr w:type="spellEnd"/>
            <w:r w:rsidRPr="00EC330A">
              <w:rPr>
                <w:sz w:val="16"/>
                <w:szCs w:val="16"/>
              </w:rPr>
              <w:t xml:space="preserve"> </w:t>
            </w:r>
            <w:proofErr w:type="spellStart"/>
            <w:r w:rsidRPr="00EC330A">
              <w:rPr>
                <w:sz w:val="16"/>
                <w:szCs w:val="16"/>
              </w:rPr>
              <w:t>Aesc</w:t>
            </w:r>
            <w:proofErr w:type="spellEnd"/>
            <w:r w:rsidRPr="00EC330A">
              <w:rPr>
                <w:sz w:val="16"/>
                <w:szCs w:val="16"/>
              </w:rPr>
              <w:t xml:space="preserve"> </w:t>
            </w:r>
            <w:proofErr w:type="spellStart"/>
            <w:r w:rsidRPr="00EC330A">
              <w:rPr>
                <w:sz w:val="16"/>
                <w:szCs w:val="16"/>
              </w:rPr>
              <w:t>Spain</w:t>
            </w:r>
            <w:proofErr w:type="spellEnd"/>
          </w:p>
        </w:tc>
        <w:tc>
          <w:tcPr>
            <w:tcW w:w="1275" w:type="dxa"/>
            <w:noWrap/>
          </w:tcPr>
          <w:p w14:paraId="1F0799EC"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Pr>
                <w:rFonts w:eastAsia="Times New Roman" w:cs="Calibri"/>
                <w:sz w:val="16"/>
                <w:szCs w:val="16"/>
              </w:rPr>
              <w:t>6,6</w:t>
            </w:r>
          </w:p>
        </w:tc>
        <w:tc>
          <w:tcPr>
            <w:tcW w:w="4962" w:type="dxa"/>
            <w:gridSpan w:val="3"/>
            <w:noWrap/>
          </w:tcPr>
          <w:p w14:paraId="01A8BC18"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41449187"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05EBF1D"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69E03153" w14:textId="77777777" w:rsidR="005412C5" w:rsidRPr="00EC330A" w:rsidRDefault="005412C5" w:rsidP="00BB5F26">
            <w:pPr>
              <w:rPr>
                <w:rFonts w:eastAsia="Times New Roman" w:cs="Calibri"/>
                <w:color w:val="000000"/>
                <w:sz w:val="16"/>
                <w:szCs w:val="16"/>
              </w:rPr>
            </w:pPr>
            <w:proofErr w:type="spellStart"/>
            <w:r w:rsidRPr="00EC330A">
              <w:rPr>
                <w:sz w:val="16"/>
                <w:szCs w:val="16"/>
              </w:rPr>
              <w:t>Seat</w:t>
            </w:r>
            <w:proofErr w:type="spellEnd"/>
          </w:p>
        </w:tc>
        <w:tc>
          <w:tcPr>
            <w:tcW w:w="1275" w:type="dxa"/>
            <w:noWrap/>
          </w:tcPr>
          <w:p w14:paraId="58D12ED1"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2" w:type="dxa"/>
            <w:gridSpan w:val="3"/>
            <w:noWrap/>
          </w:tcPr>
          <w:p w14:paraId="6BFDF6D1"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08F2A98A"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010A40DD"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2DD6AD47" w14:textId="77777777" w:rsidR="005412C5" w:rsidRPr="00EC330A" w:rsidRDefault="005412C5" w:rsidP="00BB5F26">
            <w:pPr>
              <w:rPr>
                <w:rFonts w:eastAsia="Times New Roman" w:cs="Calibri"/>
                <w:color w:val="000000"/>
                <w:sz w:val="16"/>
                <w:szCs w:val="16"/>
              </w:rPr>
            </w:pPr>
            <w:r w:rsidRPr="00EC330A">
              <w:rPr>
                <w:sz w:val="16"/>
                <w:szCs w:val="16"/>
              </w:rPr>
              <w:t>Cosentino</w:t>
            </w:r>
          </w:p>
        </w:tc>
        <w:tc>
          <w:tcPr>
            <w:tcW w:w="1275" w:type="dxa"/>
            <w:noWrap/>
          </w:tcPr>
          <w:p w14:paraId="1FC24C4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2" w:type="dxa"/>
            <w:gridSpan w:val="3"/>
            <w:noWrap/>
          </w:tcPr>
          <w:p w14:paraId="7BF5A85E"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1A491729"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5EC7C8F8"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0166FDE9" w14:textId="77777777" w:rsidR="005412C5" w:rsidRPr="00EC330A" w:rsidRDefault="005412C5" w:rsidP="00BB5F26">
            <w:pPr>
              <w:rPr>
                <w:rFonts w:eastAsia="Times New Roman" w:cs="Calibri"/>
                <w:color w:val="000000"/>
                <w:sz w:val="16"/>
                <w:szCs w:val="16"/>
              </w:rPr>
            </w:pPr>
            <w:r w:rsidRPr="00EC330A">
              <w:rPr>
                <w:sz w:val="16"/>
                <w:szCs w:val="16"/>
              </w:rPr>
              <w:t>Petróleos del Norte</w:t>
            </w:r>
          </w:p>
        </w:tc>
        <w:tc>
          <w:tcPr>
            <w:tcW w:w="1275" w:type="dxa"/>
            <w:noWrap/>
          </w:tcPr>
          <w:p w14:paraId="672779C8"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2" w:type="dxa"/>
            <w:gridSpan w:val="3"/>
            <w:noWrap/>
          </w:tcPr>
          <w:p w14:paraId="7077E473"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42840BDC"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57A63F43"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3175A7F6" w14:textId="77777777" w:rsidR="005412C5" w:rsidRPr="00EC330A" w:rsidRDefault="005412C5" w:rsidP="00BB5F26">
            <w:pPr>
              <w:rPr>
                <w:rFonts w:eastAsia="Times New Roman" w:cs="Calibri"/>
                <w:color w:val="000000"/>
                <w:sz w:val="16"/>
                <w:szCs w:val="16"/>
              </w:rPr>
            </w:pPr>
            <w:proofErr w:type="spellStart"/>
            <w:r w:rsidRPr="00EC330A">
              <w:rPr>
                <w:sz w:val="16"/>
                <w:szCs w:val="16"/>
              </w:rPr>
              <w:t>Colorobbia</w:t>
            </w:r>
            <w:proofErr w:type="spellEnd"/>
            <w:r w:rsidRPr="00EC330A">
              <w:rPr>
                <w:sz w:val="16"/>
                <w:szCs w:val="16"/>
              </w:rPr>
              <w:t xml:space="preserve"> España</w:t>
            </w:r>
          </w:p>
        </w:tc>
        <w:tc>
          <w:tcPr>
            <w:tcW w:w="1275" w:type="dxa"/>
            <w:noWrap/>
          </w:tcPr>
          <w:p w14:paraId="09B9685B"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2" w:type="dxa"/>
            <w:gridSpan w:val="3"/>
            <w:noWrap/>
          </w:tcPr>
          <w:p w14:paraId="28E51253"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76FCB485"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60EE89EA"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1FD5CB61" w14:textId="77777777" w:rsidR="005412C5" w:rsidRPr="00EC330A" w:rsidRDefault="005412C5" w:rsidP="00BB5F26">
            <w:pPr>
              <w:rPr>
                <w:rFonts w:eastAsia="Times New Roman" w:cs="Calibri"/>
                <w:color w:val="000000"/>
                <w:sz w:val="16"/>
                <w:szCs w:val="16"/>
              </w:rPr>
            </w:pPr>
            <w:proofErr w:type="spellStart"/>
            <w:r w:rsidRPr="00EC330A">
              <w:rPr>
                <w:sz w:val="16"/>
                <w:szCs w:val="16"/>
              </w:rPr>
              <w:t>Prezero</w:t>
            </w:r>
            <w:proofErr w:type="spellEnd"/>
            <w:r w:rsidRPr="00EC330A">
              <w:rPr>
                <w:sz w:val="16"/>
                <w:szCs w:val="16"/>
              </w:rPr>
              <w:t xml:space="preserve"> España</w:t>
            </w:r>
          </w:p>
        </w:tc>
        <w:tc>
          <w:tcPr>
            <w:tcW w:w="1275" w:type="dxa"/>
            <w:noWrap/>
          </w:tcPr>
          <w:p w14:paraId="67E7FA23"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4F4D27">
              <w:rPr>
                <w:rFonts w:eastAsia="Times New Roman" w:cs="Calibri"/>
                <w:sz w:val="16"/>
                <w:szCs w:val="16"/>
              </w:rPr>
              <w:t>6,6</w:t>
            </w:r>
          </w:p>
        </w:tc>
        <w:tc>
          <w:tcPr>
            <w:tcW w:w="4962" w:type="dxa"/>
            <w:gridSpan w:val="3"/>
            <w:noWrap/>
          </w:tcPr>
          <w:p w14:paraId="49740FDE"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04919ADC"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2F52A0C3"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A2DC55A" w14:textId="77777777" w:rsidR="005412C5" w:rsidRPr="00EC330A" w:rsidRDefault="005412C5" w:rsidP="00BB5F26">
            <w:pPr>
              <w:rPr>
                <w:rFonts w:eastAsia="Times New Roman" w:cs="Calibri"/>
                <w:color w:val="000000"/>
                <w:sz w:val="16"/>
                <w:szCs w:val="16"/>
              </w:rPr>
            </w:pPr>
            <w:r w:rsidRPr="00EC330A">
              <w:rPr>
                <w:sz w:val="16"/>
                <w:szCs w:val="16"/>
              </w:rPr>
              <w:t>Asociación Española para la Promoción del Empleo Joven</w:t>
            </w:r>
          </w:p>
        </w:tc>
        <w:tc>
          <w:tcPr>
            <w:tcW w:w="1275" w:type="dxa"/>
            <w:noWrap/>
            <w:hideMark/>
          </w:tcPr>
          <w:p w14:paraId="08F8E464"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6,</w:t>
            </w:r>
            <w:r>
              <w:rPr>
                <w:rFonts w:eastAsia="Times New Roman" w:cs="Calibri"/>
                <w:sz w:val="16"/>
                <w:szCs w:val="16"/>
              </w:rPr>
              <w:t>1</w:t>
            </w:r>
          </w:p>
        </w:tc>
        <w:tc>
          <w:tcPr>
            <w:tcW w:w="4962" w:type="dxa"/>
            <w:gridSpan w:val="3"/>
            <w:noWrap/>
            <w:hideMark/>
          </w:tcPr>
          <w:p w14:paraId="4F5E89DF"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hideMark/>
          </w:tcPr>
          <w:p w14:paraId="78DC1D07"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3994F4D0"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FEE1F33" w14:textId="77777777" w:rsidR="005412C5" w:rsidRPr="00EC330A" w:rsidRDefault="005412C5" w:rsidP="00BB5F26">
            <w:pPr>
              <w:rPr>
                <w:rFonts w:eastAsia="Times New Roman" w:cs="Calibri"/>
                <w:color w:val="000000"/>
                <w:sz w:val="16"/>
                <w:szCs w:val="16"/>
              </w:rPr>
            </w:pPr>
            <w:r w:rsidRPr="00EC330A">
              <w:rPr>
                <w:sz w:val="16"/>
                <w:szCs w:val="16"/>
              </w:rPr>
              <w:t>Oxigeno</w:t>
            </w:r>
          </w:p>
        </w:tc>
        <w:tc>
          <w:tcPr>
            <w:tcW w:w="1275" w:type="dxa"/>
            <w:noWrap/>
            <w:hideMark/>
          </w:tcPr>
          <w:p w14:paraId="3D2FB082"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6,</w:t>
            </w:r>
            <w:r>
              <w:rPr>
                <w:rFonts w:eastAsia="Times New Roman" w:cs="Calibri"/>
                <w:sz w:val="16"/>
                <w:szCs w:val="16"/>
              </w:rPr>
              <w:t>1</w:t>
            </w:r>
          </w:p>
        </w:tc>
        <w:tc>
          <w:tcPr>
            <w:tcW w:w="4962" w:type="dxa"/>
            <w:gridSpan w:val="3"/>
            <w:noWrap/>
            <w:hideMark/>
          </w:tcPr>
          <w:p w14:paraId="699341EB"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hideMark/>
          </w:tcPr>
          <w:p w14:paraId="5154B447"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r w:rsidR="005412C5" w:rsidRPr="00561A62" w14:paraId="6642B807" w14:textId="77777777" w:rsidTr="005412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280B46B" w14:textId="77777777" w:rsidR="005412C5" w:rsidRPr="00EC330A" w:rsidRDefault="005412C5" w:rsidP="00BB5F26">
            <w:pPr>
              <w:rPr>
                <w:rFonts w:eastAsia="Times New Roman" w:cs="Calibri"/>
                <w:color w:val="000000"/>
                <w:sz w:val="16"/>
                <w:szCs w:val="16"/>
              </w:rPr>
            </w:pPr>
            <w:r w:rsidRPr="00EC330A">
              <w:rPr>
                <w:sz w:val="16"/>
                <w:szCs w:val="16"/>
              </w:rPr>
              <w:t>In Género</w:t>
            </w:r>
          </w:p>
        </w:tc>
        <w:tc>
          <w:tcPr>
            <w:tcW w:w="1275" w:type="dxa"/>
            <w:noWrap/>
            <w:hideMark/>
          </w:tcPr>
          <w:p w14:paraId="3E963314" w14:textId="77777777" w:rsidR="005412C5" w:rsidRPr="00561A62" w:rsidRDefault="005412C5" w:rsidP="00BB5F26">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16"/>
                <w:szCs w:val="16"/>
              </w:rPr>
            </w:pPr>
            <w:r w:rsidRPr="00561A62">
              <w:rPr>
                <w:rFonts w:eastAsia="Times New Roman" w:cs="Calibri"/>
                <w:sz w:val="16"/>
                <w:szCs w:val="16"/>
              </w:rPr>
              <w:t>6</w:t>
            </w:r>
            <w:r>
              <w:rPr>
                <w:rFonts w:eastAsia="Times New Roman" w:cs="Calibri"/>
                <w:sz w:val="16"/>
                <w:szCs w:val="16"/>
              </w:rPr>
              <w:t>,1</w:t>
            </w:r>
          </w:p>
        </w:tc>
        <w:tc>
          <w:tcPr>
            <w:tcW w:w="4962" w:type="dxa"/>
            <w:gridSpan w:val="3"/>
            <w:noWrap/>
            <w:hideMark/>
          </w:tcPr>
          <w:p w14:paraId="233267AD"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hideMark/>
          </w:tcPr>
          <w:p w14:paraId="5FC0106B" w14:textId="77777777" w:rsidR="005412C5" w:rsidRPr="00561A62" w:rsidRDefault="005412C5" w:rsidP="00BB5F2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r>
      <w:tr w:rsidR="005412C5" w:rsidRPr="00561A62" w14:paraId="46699DDB" w14:textId="77777777" w:rsidTr="005412C5">
        <w:trPr>
          <w:trHeight w:val="300"/>
        </w:trPr>
        <w:tc>
          <w:tcPr>
            <w:cnfStyle w:val="001000000000" w:firstRow="0" w:lastRow="0" w:firstColumn="1" w:lastColumn="0" w:oddVBand="0" w:evenVBand="0" w:oddHBand="0" w:evenHBand="0" w:firstRowFirstColumn="0" w:firstRowLastColumn="0" w:lastRowFirstColumn="0" w:lastRowLastColumn="0"/>
            <w:tcW w:w="2122" w:type="dxa"/>
            <w:noWrap/>
          </w:tcPr>
          <w:p w14:paraId="289AD89C" w14:textId="77777777" w:rsidR="005412C5" w:rsidRPr="00EC330A" w:rsidRDefault="005412C5" w:rsidP="00BB5F26">
            <w:pPr>
              <w:rPr>
                <w:sz w:val="16"/>
                <w:szCs w:val="16"/>
              </w:rPr>
            </w:pPr>
            <w:proofErr w:type="spellStart"/>
            <w:r w:rsidRPr="00EC330A">
              <w:rPr>
                <w:sz w:val="16"/>
                <w:szCs w:val="16"/>
              </w:rPr>
              <w:t>Stellantis</w:t>
            </w:r>
            <w:proofErr w:type="spellEnd"/>
            <w:r w:rsidRPr="00EC330A">
              <w:rPr>
                <w:sz w:val="16"/>
                <w:szCs w:val="16"/>
              </w:rPr>
              <w:t xml:space="preserve"> España</w:t>
            </w:r>
          </w:p>
        </w:tc>
        <w:tc>
          <w:tcPr>
            <w:tcW w:w="1275" w:type="dxa"/>
            <w:noWrap/>
          </w:tcPr>
          <w:p w14:paraId="57749A02" w14:textId="77777777" w:rsidR="005412C5" w:rsidRPr="00561A62" w:rsidRDefault="005412C5" w:rsidP="00BB5F26">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3,3</w:t>
            </w:r>
          </w:p>
        </w:tc>
        <w:tc>
          <w:tcPr>
            <w:tcW w:w="4962" w:type="dxa"/>
            <w:gridSpan w:val="3"/>
            <w:noWrap/>
          </w:tcPr>
          <w:p w14:paraId="2F45278D"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9D0D88">
              <w:rPr>
                <w:rFonts w:eastAsia="Times New Roman" w:cs="Calibri"/>
                <w:color w:val="000000"/>
                <w:sz w:val="16"/>
                <w:szCs w:val="16"/>
              </w:rPr>
              <w:t>Primera evaluación en 2025</w:t>
            </w:r>
          </w:p>
        </w:tc>
        <w:tc>
          <w:tcPr>
            <w:tcW w:w="1559" w:type="dxa"/>
            <w:noWrap/>
          </w:tcPr>
          <w:p w14:paraId="0B0B2A7C" w14:textId="77777777" w:rsidR="005412C5" w:rsidRPr="00561A62" w:rsidRDefault="005412C5" w:rsidP="00BB5F2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r>
    </w:tbl>
    <w:p w14:paraId="32B80D90" w14:textId="59ED14B8" w:rsidR="006C58A6" w:rsidRDefault="006C58A6" w:rsidP="00AA0900">
      <w:pPr>
        <w:spacing w:after="0"/>
        <w:jc w:val="both"/>
        <w:rPr>
          <w:rFonts w:ascii="Mulish" w:eastAsia="Mulish" w:hAnsi="Mulish" w:cs="Mulish"/>
          <w:color w:val="0C0C0C" w:themeColor="text1"/>
          <w:lang w:eastAsia="es-ES" w:bidi="es-ES"/>
        </w:rPr>
      </w:pPr>
    </w:p>
    <w:p w14:paraId="5020F068" w14:textId="1AB3A4DE" w:rsidR="006C58A6" w:rsidRDefault="006C58A6" w:rsidP="00AA0900">
      <w:pPr>
        <w:spacing w:after="0"/>
        <w:jc w:val="both"/>
        <w:rPr>
          <w:rFonts w:ascii="Mulish" w:eastAsia="Mulish" w:hAnsi="Mulish" w:cs="Mulish"/>
          <w:color w:val="0C0C0C" w:themeColor="text1"/>
          <w:lang w:eastAsia="es-ES" w:bidi="es-ES"/>
        </w:rPr>
      </w:pPr>
    </w:p>
    <w:p w14:paraId="78C89F61" w14:textId="77777777" w:rsidR="006C58A6" w:rsidRDefault="006C58A6" w:rsidP="00AA0900">
      <w:pPr>
        <w:spacing w:after="0"/>
        <w:jc w:val="both"/>
        <w:rPr>
          <w:rFonts w:ascii="Mulish" w:eastAsia="Mulish" w:hAnsi="Mulish" w:cs="Mulish"/>
          <w:color w:val="0C0C0C" w:themeColor="text1"/>
          <w:lang w:eastAsia="es-ES" w:bidi="es-ES"/>
        </w:rPr>
      </w:pPr>
    </w:p>
    <w:p w14:paraId="68F86F31" w14:textId="77777777" w:rsidR="00D70DAE" w:rsidRDefault="00D70DAE" w:rsidP="00AA0900">
      <w:pPr>
        <w:spacing w:after="0"/>
        <w:jc w:val="both"/>
        <w:rPr>
          <w:rFonts w:ascii="Mulish" w:eastAsia="Mulish" w:hAnsi="Mulish" w:cs="Mulish"/>
          <w:color w:val="0C0C0C" w:themeColor="text1"/>
          <w:lang w:eastAsia="es-ES" w:bidi="es-ES"/>
        </w:rPr>
      </w:pPr>
    </w:p>
    <w:p w14:paraId="44DE4BF0" w14:textId="48236E37" w:rsidR="00B80115" w:rsidRPr="0076793C" w:rsidRDefault="00B80115" w:rsidP="00B80115">
      <w:pPr>
        <w:spacing w:after="0" w:line="240" w:lineRule="auto"/>
        <w:jc w:val="both"/>
        <w:rPr>
          <w:sz w:val="24"/>
          <w:szCs w:val="24"/>
          <w:u w:val="single"/>
        </w:rPr>
      </w:pPr>
      <w:r w:rsidRPr="0076793C">
        <w:rPr>
          <w:sz w:val="24"/>
          <w:szCs w:val="24"/>
          <w:u w:val="single"/>
        </w:rPr>
        <w:t>Más información:</w:t>
      </w:r>
      <w:r w:rsidR="00C27BA6">
        <w:rPr>
          <w:sz w:val="24"/>
          <w:szCs w:val="24"/>
          <w:u w:val="single"/>
        </w:rPr>
        <w:t xml:space="preserve"> </w:t>
      </w:r>
    </w:p>
    <w:p w14:paraId="6C40E5E0" w14:textId="6274EA26" w:rsidR="009B3A1E" w:rsidRDefault="00B80115" w:rsidP="00C05613">
      <w:pPr>
        <w:spacing w:after="0" w:line="240" w:lineRule="auto"/>
        <w:jc w:val="both"/>
        <w:rPr>
          <w:rStyle w:val="Hipervnculo"/>
          <w:sz w:val="24"/>
          <w:szCs w:val="24"/>
        </w:rPr>
      </w:pPr>
      <w:r w:rsidRPr="0076793C">
        <w:rPr>
          <w:rStyle w:val="Hipervnculo"/>
          <w:sz w:val="24"/>
          <w:szCs w:val="24"/>
        </w:rPr>
        <w:t>prensa</w:t>
      </w:r>
      <w:hyperlink r:id="rId10" w:history="1">
        <w:r w:rsidRPr="0076793C">
          <w:rPr>
            <w:rStyle w:val="Hipervnculo"/>
            <w:sz w:val="24"/>
            <w:szCs w:val="24"/>
          </w:rPr>
          <w:t>@consejodetransparencia.es</w:t>
        </w:r>
      </w:hyperlink>
      <w:r w:rsidR="00C27BA6">
        <w:rPr>
          <w:rStyle w:val="Hipervnculo"/>
          <w:sz w:val="24"/>
          <w:szCs w:val="24"/>
        </w:rPr>
        <w:t xml:space="preserve">  </w:t>
      </w:r>
    </w:p>
    <w:p w14:paraId="3A47980F" w14:textId="0549565F" w:rsidR="00D846D5" w:rsidRPr="00D846D5" w:rsidRDefault="00D846D5" w:rsidP="00D846D5">
      <w:pPr>
        <w:spacing w:after="0" w:line="240" w:lineRule="auto"/>
        <w:jc w:val="both"/>
        <w:rPr>
          <w:rFonts w:ascii="Mulish" w:eastAsia="Mulish" w:hAnsi="Mulish" w:cs="Mulish"/>
          <w:color w:val="0C0C0C" w:themeColor="text1"/>
          <w:lang w:eastAsia="es-ES" w:bidi="es-ES"/>
        </w:rPr>
      </w:pPr>
      <w:r w:rsidRPr="00D846D5">
        <w:rPr>
          <w:rFonts w:ascii="Mulish" w:eastAsia="Mulish" w:hAnsi="Mulish" w:cs="Mulish"/>
          <w:color w:val="0C0C0C" w:themeColor="text1"/>
          <w:lang w:eastAsia="es-ES" w:bidi="es-ES"/>
        </w:rPr>
        <w:t xml:space="preserve">91 273 33 45  </w:t>
      </w:r>
    </w:p>
    <w:sectPr w:rsidR="00D846D5" w:rsidRPr="00D846D5" w:rsidSect="00C34F68">
      <w:headerReference w:type="default" r:id="rId11"/>
      <w:footerReference w:type="default" r:id="rId12"/>
      <w:headerReference w:type="first" r:id="rId13"/>
      <w:footerReference w:type="first" r:id="rId14"/>
      <w:pgSz w:w="11906" w:h="16838" w:code="9"/>
      <w:pgMar w:top="1418" w:right="1418" w:bottom="1418" w:left="1418" w:header="709"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6773" w14:textId="77777777" w:rsidR="00C37434" w:rsidRDefault="00C37434" w:rsidP="00E033DF">
      <w:pPr>
        <w:spacing w:after="0" w:line="240" w:lineRule="auto"/>
      </w:pPr>
      <w:r>
        <w:separator/>
      </w:r>
    </w:p>
  </w:endnote>
  <w:endnote w:type="continuationSeparator" w:id="0">
    <w:p w14:paraId="19BEDFEC" w14:textId="77777777" w:rsidR="00C37434" w:rsidRDefault="00C37434" w:rsidP="00E0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9197"/>
      <w:docPartObj>
        <w:docPartGallery w:val="Page Numbers (Bottom of Page)"/>
        <w:docPartUnique/>
      </w:docPartObj>
    </w:sdtPr>
    <w:sdtEndPr/>
    <w:sdtContent>
      <w:p w14:paraId="6C40E5E8" w14:textId="388E40E1" w:rsidR="009B3A1E" w:rsidRPr="00A40308" w:rsidRDefault="00A667E2" w:rsidP="00F436DD">
        <w:pPr>
          <w:pStyle w:val="Piedepgina"/>
          <w:tabs>
            <w:tab w:val="clear" w:pos="8504"/>
          </w:tabs>
          <w:ind w:right="-568"/>
          <w:jc w:val="center"/>
          <w:rPr>
            <w:rFonts w:ascii="Mulish" w:hAnsi="Mulish"/>
            <w:sz w:val="16"/>
            <w:szCs w:val="16"/>
          </w:rPr>
        </w:pPr>
        <w:r w:rsidRPr="00F436DD">
          <w:rPr>
            <w:rFonts w:ascii="Mulish" w:hAnsi="Mulish"/>
            <w:noProof/>
            <w:sz w:val="16"/>
            <w:szCs w:val="16"/>
            <w:lang w:eastAsia="es-ES"/>
          </w:rPr>
          <mc:AlternateContent>
            <mc:Choice Requires="wps">
              <w:drawing>
                <wp:anchor distT="0" distB="0" distL="114300" distR="114300" simplePos="0" relativeHeight="251672576" behindDoc="0" locked="0" layoutInCell="1" allowOverlap="1" wp14:anchorId="6C40E5F9" wp14:editId="572EC6D2">
                  <wp:simplePos x="0" y="0"/>
                  <wp:positionH relativeFrom="column">
                    <wp:posOffset>7855585</wp:posOffset>
                  </wp:positionH>
                  <wp:positionV relativeFrom="paragraph">
                    <wp:posOffset>164465</wp:posOffset>
                  </wp:positionV>
                  <wp:extent cx="0" cy="358140"/>
                  <wp:effectExtent l="6985" t="12065" r="12065" b="10795"/>
                  <wp:wrapNone/>
                  <wp:docPr id="9805813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5C4C47" id="_x0000_t32" coordsize="21600,21600" o:spt="32" o:oned="t" path="m,l21600,21600e" filled="f">
                  <v:path arrowok="t" fillok="f" o:connecttype="none"/>
                  <o:lock v:ext="edit" shapetype="t"/>
                </v:shapetype>
                <v:shape id="AutoShape 11" o:spid="_x0000_s1026" type="#_x0000_t32" style="position:absolute;margin-left:618.55pt;margin-top:12.95pt;width:0;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"/>
              </w:pict>
            </mc:Fallback>
          </mc:AlternateContent>
        </w:r>
        <w:r w:rsidR="00E94641">
          <w:tab/>
        </w:r>
        <w:r w:rsidRPr="00F436DD">
          <w:rPr>
            <w:rFonts w:ascii="Mulish" w:hAnsi="Mulish"/>
            <w:sz w:val="16"/>
            <w:szCs w:val="16"/>
          </w:rPr>
          <w:fldChar w:fldCharType="begin"/>
        </w:r>
        <w:r w:rsidRPr="00F436DD">
          <w:rPr>
            <w:rFonts w:ascii="Mulish" w:hAnsi="Mulish"/>
            <w:sz w:val="16"/>
            <w:szCs w:val="16"/>
          </w:rPr>
          <w:instrText xml:space="preserve"> PAGE   \* MERGEFORMAT </w:instrText>
        </w:r>
        <w:r w:rsidRPr="00F436DD">
          <w:rPr>
            <w:rFonts w:ascii="Mulish" w:hAnsi="Mulish"/>
            <w:sz w:val="16"/>
            <w:szCs w:val="16"/>
          </w:rPr>
          <w:fldChar w:fldCharType="separate"/>
        </w:r>
        <w:r w:rsidR="000A35BB">
          <w:rPr>
            <w:rFonts w:ascii="Mulish" w:hAnsi="Mulish"/>
            <w:noProof/>
            <w:sz w:val="16"/>
            <w:szCs w:val="16"/>
          </w:rPr>
          <w:t>1</w:t>
        </w:r>
        <w:r w:rsidRPr="00F436DD">
          <w:rPr>
            <w:rFonts w:ascii="Mulish" w:hAnsi="Mulish"/>
            <w:noProof/>
            <w:sz w:val="16"/>
            <w:szCs w:val="16"/>
          </w:rPr>
          <w:fldChar w:fldCharType="end"/>
        </w:r>
        <w:r w:rsidR="009B3A1E" w:rsidRPr="00F436DD">
          <w:rPr>
            <w:rFonts w:ascii="Mulish" w:hAnsi="Mulish"/>
            <w:sz w:val="16"/>
            <w:szCs w:val="16"/>
          </w:rPr>
          <w:t xml:space="preserve">  </w:t>
        </w:r>
        <w:r w:rsidR="009B3A1E" w:rsidRPr="00A40308">
          <w:rPr>
            <w:rFonts w:ascii="Mulish" w:hAnsi="Mulish"/>
          </w:rPr>
          <w:t xml:space="preserve">                                                                                                            </w:t>
        </w:r>
        <w:r w:rsidR="009B3A1E" w:rsidRPr="00A40308">
          <w:rPr>
            <w:rFonts w:ascii="Mulish" w:hAnsi="Mulish"/>
            <w:sz w:val="16"/>
            <w:szCs w:val="16"/>
          </w:rPr>
          <w:t>CONSEJO DE TRANSPARENCIA</w:t>
        </w:r>
        <w:r w:rsidR="00F51DB5" w:rsidRPr="00A40308">
          <w:rPr>
            <w:rFonts w:ascii="Mulish" w:hAnsi="Mulish"/>
            <w:sz w:val="16"/>
            <w:szCs w:val="16"/>
          </w:rPr>
          <w:t xml:space="preserve"> </w:t>
        </w:r>
        <w:r w:rsidR="00DD76CF" w:rsidRPr="00A40308">
          <w:rPr>
            <w:rFonts w:ascii="Mulish" w:hAnsi="Mulish"/>
            <w:sz w:val="16"/>
            <w:szCs w:val="16"/>
          </w:rPr>
          <w:t>AAI</w:t>
        </w:r>
        <w:r w:rsidR="009B3A1E" w:rsidRPr="00A40308">
          <w:rPr>
            <w:rFonts w:ascii="Mulish" w:hAnsi="Mulish"/>
            <w:noProof/>
            <w:sz w:val="24"/>
            <w:szCs w:val="24"/>
            <w:lang w:eastAsia="es-ES"/>
          </w:rPr>
          <w:t xml:space="preserve"> </w:t>
        </w:r>
      </w:p>
      <w:p w14:paraId="6C40E5E9" w14:textId="77777777" w:rsidR="004E6B2E" w:rsidRDefault="00BD132C" w:rsidP="005B3D95">
        <w:pPr>
          <w:pStyle w:val="Piedepgina"/>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5F5" w14:textId="413E2187" w:rsidR="009B3A1E" w:rsidRPr="000974DF" w:rsidRDefault="00A667E2" w:rsidP="001021B2">
    <w:pPr>
      <w:pStyle w:val="Piedepgina"/>
      <w:jc w:val="center"/>
      <w:rPr>
        <w:rFonts w:ascii="Mulish" w:hAnsi="Mulish"/>
      </w:rPr>
    </w:pPr>
    <w:r>
      <w:rPr>
        <w:noProof/>
        <w:lang w:eastAsia="es-ES"/>
      </w:rPr>
      <mc:AlternateContent>
        <mc:Choice Requires="wps">
          <w:drawing>
            <wp:anchor distT="0" distB="0" distL="114300" distR="114300" simplePos="0" relativeHeight="251678720" behindDoc="1" locked="0" layoutInCell="1" allowOverlap="1" wp14:anchorId="556DAD95" wp14:editId="4E703215">
              <wp:simplePos x="0" y="0"/>
              <wp:positionH relativeFrom="page">
                <wp:posOffset>876935</wp:posOffset>
              </wp:positionH>
              <wp:positionV relativeFrom="page">
                <wp:posOffset>10072370</wp:posOffset>
              </wp:positionV>
              <wp:extent cx="1299845" cy="365760"/>
              <wp:effectExtent l="0" t="0" r="0" b="0"/>
              <wp:wrapNone/>
              <wp:docPr id="3599534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65760"/>
                      </a:xfrm>
                      <a:prstGeom prst="rect">
                        <a:avLst/>
                      </a:prstGeom>
                      <a:noFill/>
                      <a:ln>
                        <a:noFill/>
                      </a:ln>
                    </wps:spPr>
                    <wps:txbx>
                      <w:txbxContent>
                        <w:p w14:paraId="5DFF72EF" w14:textId="77777777" w:rsidR="00362D91" w:rsidRPr="00A655A2" w:rsidRDefault="00362D91" w:rsidP="00362D91">
                          <w:pPr>
                            <w:spacing w:before="20" w:line="225" w:lineRule="auto"/>
                            <w:ind w:left="20" w:right="-18"/>
                            <w:rPr>
                              <w:rFonts w:ascii="Mulish" w:hAnsi="Mulish"/>
                              <w:sz w:val="14"/>
                            </w:rPr>
                          </w:pPr>
                          <w:r w:rsidRPr="00A655A2">
                            <w:rPr>
                              <w:rFonts w:ascii="Mulish" w:hAnsi="Mulish"/>
                              <w:b/>
                              <w:sz w:val="14"/>
                            </w:rPr>
                            <w:t xml:space="preserve">Consejo de Transparencia AAI </w:t>
                          </w:r>
                          <w:r w:rsidRPr="00A655A2">
                            <w:rPr>
                              <w:rFonts w:ascii="Mulish" w:hAnsi="Mulish"/>
                              <w:sz w:val="14"/>
                            </w:rPr>
                            <w:t>C/ José Abascal, nº 2, 5º-C 28003 MADRID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DAD95" id="_x0000_t202" coordsize="21600,21600" o:spt="202" path="m,l,21600r21600,l21600,xe">
              <v:stroke joinstyle="miter"/>
              <v:path gradientshapeok="t" o:connecttype="rect"/>
            </v:shapetype>
            <v:shape id="Cuadro de texto 2" o:spid="_x0000_s1026" type="#_x0000_t202" style="position:absolute;left:0;text-align:left;margin-left:69.05pt;margin-top:793.1pt;width:102.35pt;height:28.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" filled="f" stroked="f">
              <v:textbox inset="0,0,0,0">
                <w:txbxContent>
                  <w:p w14:paraId="5DFF72EF" w14:textId="77777777" w:rsidR="00362D91" w:rsidRPr="00A655A2" w:rsidRDefault="00362D91" w:rsidP="00362D91">
                    <w:pPr>
                      <w:spacing w:before="20" w:line="225" w:lineRule="auto"/>
                      <w:ind w:left="20" w:right="-18"/>
                      <w:rPr>
                        <w:rFonts w:ascii="Mulish" w:hAnsi="Mulish"/>
                        <w:sz w:val="14"/>
                      </w:rPr>
                    </w:pPr>
                    <w:r w:rsidRPr="00A655A2">
                      <w:rPr>
                        <w:rFonts w:ascii="Mulish" w:hAnsi="Mulish"/>
                        <w:b/>
                        <w:sz w:val="14"/>
                      </w:rPr>
                      <w:t xml:space="preserve">Consejo de Transparencia AAI </w:t>
                    </w:r>
                    <w:r w:rsidRPr="00A655A2">
                      <w:rPr>
                        <w:rFonts w:ascii="Mulish" w:hAnsi="Mulish"/>
                        <w:sz w:val="14"/>
                      </w:rPr>
                      <w:t>C/ José Abascal, nº 2, 5º-C 28003 MADRID</w:t>
                    </w:r>
                  </w:p>
                </w:txbxContent>
              </v:textbox>
              <w10:wrap anchorx="page" anchory="page"/>
            </v:shape>
          </w:pict>
        </mc:Fallback>
      </mc:AlternateContent>
    </w:r>
    <w:r>
      <w:rPr>
        <w:noProof/>
        <w:lang w:eastAsia="es-ES"/>
      </w:rPr>
      <mc:AlternateContent>
        <mc:Choice Requires="wps">
          <w:drawing>
            <wp:anchor distT="0" distB="0" distL="114300" distR="114300" simplePos="0" relativeHeight="251680768" behindDoc="1" locked="0" layoutInCell="1" allowOverlap="1" wp14:anchorId="69F40DE2" wp14:editId="52CD6E8A">
              <wp:simplePos x="0" y="0"/>
              <wp:positionH relativeFrom="page">
                <wp:posOffset>4848860</wp:posOffset>
              </wp:positionH>
              <wp:positionV relativeFrom="page">
                <wp:posOffset>10081260</wp:posOffset>
              </wp:positionV>
              <wp:extent cx="2000250" cy="419100"/>
              <wp:effectExtent l="0" t="0" r="0" b="0"/>
              <wp:wrapNone/>
              <wp:docPr id="44388711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19100"/>
                      </a:xfrm>
                      <a:prstGeom prst="rect">
                        <a:avLst/>
                      </a:prstGeom>
                      <a:noFill/>
                      <a:ln>
                        <a:noFill/>
                      </a:ln>
                    </wps:spPr>
                    <wps:txbx>
                      <w:txbxContent>
                        <w:p w14:paraId="59EF72C9" w14:textId="77777777" w:rsidR="001C2B35" w:rsidRPr="002E7D20" w:rsidRDefault="00BD132C" w:rsidP="001C2B35">
                          <w:pPr>
                            <w:tabs>
                              <w:tab w:val="left" w:pos="2798"/>
                            </w:tabs>
                            <w:spacing w:before="20" w:line="225" w:lineRule="auto"/>
                            <w:ind w:left="101" w:right="342" w:hanging="82"/>
                            <w:jc w:val="right"/>
                            <w:rPr>
                              <w:rFonts w:ascii="Mulish" w:hAnsi="Mulish"/>
                              <w:sz w:val="14"/>
                              <w:lang w:val="en-GB"/>
                            </w:rPr>
                          </w:pPr>
                          <w:hyperlink r:id="rId1">
                            <w:r w:rsidR="001C2B35" w:rsidRPr="002E7D20">
                              <w:rPr>
                                <w:rFonts w:ascii="Mulish" w:hAnsi="Mulish"/>
                                <w:sz w:val="14"/>
                                <w:lang w:val="en-GB"/>
                              </w:rPr>
                              <w:t>email: ctbg@consejodetransparencia.es</w:t>
                            </w:r>
                          </w:hyperlink>
                          <w:r w:rsidR="001C2B35" w:rsidRPr="002E7D20">
                            <w:rPr>
                              <w:rFonts w:ascii="Mulish" w:hAnsi="Mulish"/>
                              <w:sz w:val="14"/>
                              <w:lang w:val="en-GB"/>
                            </w:rPr>
                            <w:t xml:space="preserve"> Teléfono: 91 273 33 20 - 91 273 33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0DE2" id="Cuadro de texto 1" o:spid="_x0000_s1027" type="#_x0000_t202" style="position:absolute;left:0;text-align:left;margin-left:381.8pt;margin-top:793.8pt;width:157.5pt;height:3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" filled="f" stroked="f">
              <v:textbox inset="0,0,0,0">
                <w:txbxContent>
                  <w:p w14:paraId="59EF72C9" w14:textId="77777777" w:rsidR="001C2B35" w:rsidRPr="002E7D20" w:rsidRDefault="00263AD5" w:rsidP="001C2B35">
                    <w:pPr>
                      <w:tabs>
                        <w:tab w:val="left" w:pos="2798"/>
                      </w:tabs>
                      <w:spacing w:before="20" w:line="225" w:lineRule="auto"/>
                      <w:ind w:left="101" w:right="342" w:hanging="82"/>
                      <w:jc w:val="right"/>
                      <w:rPr>
                        <w:rFonts w:ascii="Mulish" w:hAnsi="Mulish"/>
                        <w:sz w:val="14"/>
                        <w:lang w:val="en-GB"/>
                      </w:rPr>
                    </w:pPr>
                    <w:hyperlink r:id="rId2">
                      <w:r w:rsidR="001C2B35" w:rsidRPr="002E7D20">
                        <w:rPr>
                          <w:rFonts w:ascii="Mulish" w:hAnsi="Mulish"/>
                          <w:sz w:val="14"/>
                          <w:lang w:val="en-GB"/>
                        </w:rPr>
                        <w:t>email: ctbg@consejodetransparencia.es</w:t>
                      </w:r>
                    </w:hyperlink>
                    <w:r w:rsidR="001C2B35" w:rsidRPr="002E7D20">
                      <w:rPr>
                        <w:rFonts w:ascii="Mulish" w:hAnsi="Mulish"/>
                        <w:sz w:val="14"/>
                        <w:lang w:val="en-GB"/>
                      </w:rPr>
                      <w:t xml:space="preserve"> Teléfono: 91 273 33 20 - 91 273 33 17</w:t>
                    </w:r>
                  </w:p>
                </w:txbxContent>
              </v:textbox>
              <w10:wrap anchorx="page" anchory="page"/>
            </v:shape>
          </w:pict>
        </mc:Fallback>
      </mc:AlternateContent>
    </w:r>
    <w:r w:rsidR="00F31A91">
      <w:tab/>
    </w:r>
    <w:r w:rsidR="00F31A91">
      <w:tab/>
    </w:r>
    <w:r w:rsidR="00F31A91">
      <w:tab/>
    </w:r>
    <w:r w:rsidR="00F31A91">
      <w:tab/>
    </w:r>
    <w:r w:rsidR="001C2B3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F62" w14:textId="77777777" w:rsidR="00C37434" w:rsidRDefault="00C37434" w:rsidP="00E033DF">
      <w:pPr>
        <w:spacing w:after="0" w:line="240" w:lineRule="auto"/>
      </w:pPr>
      <w:r>
        <w:separator/>
      </w:r>
    </w:p>
  </w:footnote>
  <w:footnote w:type="continuationSeparator" w:id="0">
    <w:p w14:paraId="20251EC2" w14:textId="77777777" w:rsidR="00C37434" w:rsidRDefault="00C37434" w:rsidP="00E0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1301" w14:textId="77777777" w:rsidR="00A666AD" w:rsidRDefault="00A666AD" w:rsidP="008D3392">
    <w:pPr>
      <w:pStyle w:val="Encabezado"/>
      <w:ind w:left="-284"/>
      <w:rPr>
        <w:sz w:val="16"/>
        <w:szCs w:val="16"/>
      </w:rPr>
    </w:pPr>
  </w:p>
  <w:p w14:paraId="26353F07" w14:textId="7209693C" w:rsidR="00A666AD" w:rsidRDefault="00A666AD" w:rsidP="008D3392">
    <w:pPr>
      <w:pStyle w:val="Encabezado"/>
      <w:ind w:left="-284"/>
      <w:rPr>
        <w:sz w:val="16"/>
        <w:szCs w:val="16"/>
      </w:rPr>
    </w:pPr>
    <w:r>
      <w:rPr>
        <w:noProof/>
        <w:lang w:eastAsia="es-ES"/>
      </w:rPr>
      <w:drawing>
        <wp:anchor distT="0" distB="0" distL="114300" distR="114300" simplePos="0" relativeHeight="251683840" behindDoc="0" locked="0" layoutInCell="1" allowOverlap="1" wp14:anchorId="009FC8A4" wp14:editId="2A592D2B">
          <wp:simplePos x="0" y="0"/>
          <wp:positionH relativeFrom="margin">
            <wp:posOffset>2018665</wp:posOffset>
          </wp:positionH>
          <wp:positionV relativeFrom="margin">
            <wp:posOffset>-615950</wp:posOffset>
          </wp:positionV>
          <wp:extent cx="1798320" cy="419100"/>
          <wp:effectExtent l="0" t="0" r="0" b="0"/>
          <wp:wrapSquare wrapText="bothSides"/>
          <wp:docPr id="1704970856"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p>
  <w:p w14:paraId="4F080CFF" w14:textId="77777777" w:rsidR="00A666AD" w:rsidRDefault="00A666AD" w:rsidP="008D3392">
    <w:pPr>
      <w:pStyle w:val="Encabezado"/>
      <w:ind w:left="-284"/>
      <w:rPr>
        <w:sz w:val="16"/>
        <w:szCs w:val="16"/>
      </w:rPr>
    </w:pPr>
  </w:p>
  <w:p w14:paraId="06866FF9" w14:textId="77777777" w:rsidR="00A666AD" w:rsidRDefault="00A666AD" w:rsidP="008D3392">
    <w:pPr>
      <w:pStyle w:val="Encabezado"/>
      <w:ind w:left="-284"/>
      <w:rPr>
        <w:sz w:val="16"/>
        <w:szCs w:val="16"/>
      </w:rPr>
    </w:pPr>
  </w:p>
  <w:p w14:paraId="1BA3DC98" w14:textId="77777777" w:rsidR="00A666AD" w:rsidRDefault="00A666AD" w:rsidP="008D3392">
    <w:pPr>
      <w:pStyle w:val="Encabezado"/>
      <w:ind w:left="-284"/>
      <w:rPr>
        <w:sz w:val="16"/>
        <w:szCs w:val="16"/>
      </w:rPr>
    </w:pPr>
  </w:p>
  <w:p w14:paraId="6C40E5E5" w14:textId="081D95D3" w:rsidR="004E6B2E" w:rsidRPr="005951F3" w:rsidRDefault="004E6B2E" w:rsidP="008D3392">
    <w:pPr>
      <w:pStyle w:val="Encabezado"/>
      <w:ind w:left="-284"/>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5EB" w14:textId="31BCD447" w:rsidR="005D4FB7" w:rsidRDefault="00F3528C" w:rsidP="00407A64">
    <w:pPr>
      <w:pStyle w:val="Sinespaciado"/>
      <w:tabs>
        <w:tab w:val="left" w:pos="6705"/>
      </w:tabs>
      <w:ind w:left="-284"/>
    </w:pPr>
    <w:r>
      <w:tab/>
    </w:r>
  </w:p>
  <w:p w14:paraId="6C40E5EC" w14:textId="568A3200" w:rsidR="004E6B2E" w:rsidRDefault="004E6B2E" w:rsidP="00E873AB">
    <w:pPr>
      <w:pStyle w:val="Encabezado"/>
    </w:pPr>
  </w:p>
  <w:p w14:paraId="6C40E5F1" w14:textId="77777777" w:rsidR="00F31A91" w:rsidRDefault="00F31A91" w:rsidP="00E873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5189"/>
    <w:multiLevelType w:val="hybridMultilevel"/>
    <w:tmpl w:val="93604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B305A0"/>
    <w:multiLevelType w:val="hybridMultilevel"/>
    <w:tmpl w:val="FF68F5BC"/>
    <w:lvl w:ilvl="0" w:tplc="CA58227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53610947"/>
    <w:multiLevelType w:val="hybridMultilevel"/>
    <w:tmpl w:val="7AD0E230"/>
    <w:lvl w:ilvl="0" w:tplc="F22AECF0">
      <w:numFmt w:val="bullet"/>
      <w:lvlText w:val="•"/>
      <w:lvlJc w:val="left"/>
      <w:pPr>
        <w:ind w:left="786" w:hanging="360"/>
      </w:pPr>
      <w:rPr>
        <w:rFonts w:ascii="Mulish" w:eastAsia="Mulish" w:hAnsi="Mulish" w:cs="Mulish"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8"/>
    <w:rsid w:val="00011958"/>
    <w:rsid w:val="00020447"/>
    <w:rsid w:val="000319A0"/>
    <w:rsid w:val="00041DC6"/>
    <w:rsid w:val="000566D2"/>
    <w:rsid w:val="0006025B"/>
    <w:rsid w:val="00067423"/>
    <w:rsid w:val="000843E8"/>
    <w:rsid w:val="000974DF"/>
    <w:rsid w:val="000A35BB"/>
    <w:rsid w:val="000B3967"/>
    <w:rsid w:val="00101E4F"/>
    <w:rsid w:val="001021B2"/>
    <w:rsid w:val="00110D03"/>
    <w:rsid w:val="00126747"/>
    <w:rsid w:val="001400FA"/>
    <w:rsid w:val="00153863"/>
    <w:rsid w:val="001543D9"/>
    <w:rsid w:val="00161CD5"/>
    <w:rsid w:val="00164398"/>
    <w:rsid w:val="00164B7D"/>
    <w:rsid w:val="00172B40"/>
    <w:rsid w:val="0018353B"/>
    <w:rsid w:val="001A1A07"/>
    <w:rsid w:val="001C1F14"/>
    <w:rsid w:val="001C28B1"/>
    <w:rsid w:val="001C2B35"/>
    <w:rsid w:val="001E7D0E"/>
    <w:rsid w:val="0021628E"/>
    <w:rsid w:val="00216F25"/>
    <w:rsid w:val="00224350"/>
    <w:rsid w:val="00224C4F"/>
    <w:rsid w:val="002438FA"/>
    <w:rsid w:val="0025152B"/>
    <w:rsid w:val="00254EA4"/>
    <w:rsid w:val="00263AD5"/>
    <w:rsid w:val="002774B2"/>
    <w:rsid w:val="00285BCA"/>
    <w:rsid w:val="00292E9B"/>
    <w:rsid w:val="002D68A9"/>
    <w:rsid w:val="002D6E52"/>
    <w:rsid w:val="002E3710"/>
    <w:rsid w:val="002E4E66"/>
    <w:rsid w:val="002E7D20"/>
    <w:rsid w:val="002F5C99"/>
    <w:rsid w:val="00343319"/>
    <w:rsid w:val="00343E92"/>
    <w:rsid w:val="00362D91"/>
    <w:rsid w:val="003712C7"/>
    <w:rsid w:val="003B4951"/>
    <w:rsid w:val="003B6659"/>
    <w:rsid w:val="003C3727"/>
    <w:rsid w:val="003C665C"/>
    <w:rsid w:val="003C685A"/>
    <w:rsid w:val="003D41CC"/>
    <w:rsid w:val="003D5AFA"/>
    <w:rsid w:val="003E58C6"/>
    <w:rsid w:val="00407A64"/>
    <w:rsid w:val="00441788"/>
    <w:rsid w:val="004478AA"/>
    <w:rsid w:val="0045349D"/>
    <w:rsid w:val="00492494"/>
    <w:rsid w:val="00492843"/>
    <w:rsid w:val="004A5EA5"/>
    <w:rsid w:val="004B6393"/>
    <w:rsid w:val="004D002C"/>
    <w:rsid w:val="004D3C31"/>
    <w:rsid w:val="004E3AC4"/>
    <w:rsid w:val="004E6B2E"/>
    <w:rsid w:val="004F7C85"/>
    <w:rsid w:val="00505712"/>
    <w:rsid w:val="00525C96"/>
    <w:rsid w:val="00532CA0"/>
    <w:rsid w:val="00533D96"/>
    <w:rsid w:val="005412C5"/>
    <w:rsid w:val="005432EE"/>
    <w:rsid w:val="00553F22"/>
    <w:rsid w:val="005549D2"/>
    <w:rsid w:val="00577451"/>
    <w:rsid w:val="005832D7"/>
    <w:rsid w:val="005951F3"/>
    <w:rsid w:val="00596401"/>
    <w:rsid w:val="00597D3E"/>
    <w:rsid w:val="005B0C58"/>
    <w:rsid w:val="005B1E17"/>
    <w:rsid w:val="005B3D95"/>
    <w:rsid w:val="005B7B5A"/>
    <w:rsid w:val="005D4FB7"/>
    <w:rsid w:val="005E34BF"/>
    <w:rsid w:val="00603B7E"/>
    <w:rsid w:val="006136F0"/>
    <w:rsid w:val="0061623C"/>
    <w:rsid w:val="0064406A"/>
    <w:rsid w:val="00644241"/>
    <w:rsid w:val="0064511D"/>
    <w:rsid w:val="00651D35"/>
    <w:rsid w:val="00652518"/>
    <w:rsid w:val="00654F1C"/>
    <w:rsid w:val="0066097C"/>
    <w:rsid w:val="00686DAC"/>
    <w:rsid w:val="0069451C"/>
    <w:rsid w:val="006C58A6"/>
    <w:rsid w:val="006D0E81"/>
    <w:rsid w:val="006E2CA6"/>
    <w:rsid w:val="006E6BAE"/>
    <w:rsid w:val="007101D5"/>
    <w:rsid w:val="00721825"/>
    <w:rsid w:val="0075157F"/>
    <w:rsid w:val="007526F7"/>
    <w:rsid w:val="0077727F"/>
    <w:rsid w:val="007B410A"/>
    <w:rsid w:val="007D462E"/>
    <w:rsid w:val="007F57CD"/>
    <w:rsid w:val="008217AF"/>
    <w:rsid w:val="0082600E"/>
    <w:rsid w:val="00872485"/>
    <w:rsid w:val="00882413"/>
    <w:rsid w:val="008925B6"/>
    <w:rsid w:val="008D3392"/>
    <w:rsid w:val="008E2617"/>
    <w:rsid w:val="00902756"/>
    <w:rsid w:val="00916A7F"/>
    <w:rsid w:val="00920FC8"/>
    <w:rsid w:val="00922C73"/>
    <w:rsid w:val="0093132C"/>
    <w:rsid w:val="00945360"/>
    <w:rsid w:val="00946059"/>
    <w:rsid w:val="00960A8E"/>
    <w:rsid w:val="00964EB4"/>
    <w:rsid w:val="00966AFC"/>
    <w:rsid w:val="00967E04"/>
    <w:rsid w:val="00993416"/>
    <w:rsid w:val="009B2D68"/>
    <w:rsid w:val="009B3A1E"/>
    <w:rsid w:val="009C1C4B"/>
    <w:rsid w:val="00A0030B"/>
    <w:rsid w:val="00A035A9"/>
    <w:rsid w:val="00A251FA"/>
    <w:rsid w:val="00A40308"/>
    <w:rsid w:val="00A666AD"/>
    <w:rsid w:val="00A667E2"/>
    <w:rsid w:val="00A90913"/>
    <w:rsid w:val="00A91E2A"/>
    <w:rsid w:val="00AA0900"/>
    <w:rsid w:val="00AA262C"/>
    <w:rsid w:val="00AC0349"/>
    <w:rsid w:val="00AC124E"/>
    <w:rsid w:val="00AD4EAB"/>
    <w:rsid w:val="00AD5763"/>
    <w:rsid w:val="00B25D70"/>
    <w:rsid w:val="00B27714"/>
    <w:rsid w:val="00B33F7D"/>
    <w:rsid w:val="00B3521D"/>
    <w:rsid w:val="00B70F0A"/>
    <w:rsid w:val="00B80115"/>
    <w:rsid w:val="00B92379"/>
    <w:rsid w:val="00B965B4"/>
    <w:rsid w:val="00BA4068"/>
    <w:rsid w:val="00BA62A5"/>
    <w:rsid w:val="00BC1926"/>
    <w:rsid w:val="00BD132C"/>
    <w:rsid w:val="00BD42E2"/>
    <w:rsid w:val="00C00902"/>
    <w:rsid w:val="00C05613"/>
    <w:rsid w:val="00C23867"/>
    <w:rsid w:val="00C27BA6"/>
    <w:rsid w:val="00C34F68"/>
    <w:rsid w:val="00C371FA"/>
    <w:rsid w:val="00C37434"/>
    <w:rsid w:val="00C40DD4"/>
    <w:rsid w:val="00C56A4B"/>
    <w:rsid w:val="00C6302D"/>
    <w:rsid w:val="00C94749"/>
    <w:rsid w:val="00CA1CA7"/>
    <w:rsid w:val="00CA4A22"/>
    <w:rsid w:val="00CD3609"/>
    <w:rsid w:val="00CD3EBC"/>
    <w:rsid w:val="00CD436E"/>
    <w:rsid w:val="00CD4664"/>
    <w:rsid w:val="00CD7D42"/>
    <w:rsid w:val="00CF04E9"/>
    <w:rsid w:val="00CF7BBC"/>
    <w:rsid w:val="00D04F1E"/>
    <w:rsid w:val="00D12B25"/>
    <w:rsid w:val="00D13FB4"/>
    <w:rsid w:val="00D2326B"/>
    <w:rsid w:val="00D519BA"/>
    <w:rsid w:val="00D70DAE"/>
    <w:rsid w:val="00D71C8B"/>
    <w:rsid w:val="00D74DBF"/>
    <w:rsid w:val="00D846D5"/>
    <w:rsid w:val="00D853F3"/>
    <w:rsid w:val="00DA1AA8"/>
    <w:rsid w:val="00DA2CF7"/>
    <w:rsid w:val="00DC45C2"/>
    <w:rsid w:val="00DD76CF"/>
    <w:rsid w:val="00DF0AA4"/>
    <w:rsid w:val="00DF50CF"/>
    <w:rsid w:val="00DF52D8"/>
    <w:rsid w:val="00DF62C2"/>
    <w:rsid w:val="00E033DF"/>
    <w:rsid w:val="00E1510B"/>
    <w:rsid w:val="00E369D7"/>
    <w:rsid w:val="00E42F8B"/>
    <w:rsid w:val="00E873AB"/>
    <w:rsid w:val="00E94641"/>
    <w:rsid w:val="00EB7AAC"/>
    <w:rsid w:val="00EC69C8"/>
    <w:rsid w:val="00EE3859"/>
    <w:rsid w:val="00EF73FE"/>
    <w:rsid w:val="00EF7F60"/>
    <w:rsid w:val="00F253DF"/>
    <w:rsid w:val="00F30B12"/>
    <w:rsid w:val="00F31A91"/>
    <w:rsid w:val="00F34666"/>
    <w:rsid w:val="00F3528C"/>
    <w:rsid w:val="00F436DD"/>
    <w:rsid w:val="00F51DB5"/>
    <w:rsid w:val="00F62F97"/>
    <w:rsid w:val="00F713CA"/>
    <w:rsid w:val="00F73ACD"/>
    <w:rsid w:val="00F83F89"/>
    <w:rsid w:val="00FC7309"/>
    <w:rsid w:val="00FD0A75"/>
    <w:rsid w:val="00FD375B"/>
    <w:rsid w:val="00FD7623"/>
    <w:rsid w:val="00FE5C64"/>
    <w:rsid w:val="00FE6C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0E5B0"/>
  <w15:docId w15:val="{3A54E176-1594-43FE-802E-0F09132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8E2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033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33DF"/>
  </w:style>
  <w:style w:type="paragraph" w:styleId="Piedepgina">
    <w:name w:val="footer"/>
    <w:basedOn w:val="Normal"/>
    <w:link w:val="PiedepginaCar"/>
    <w:uiPriority w:val="99"/>
    <w:unhideWhenUsed/>
    <w:rsid w:val="00E033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33DF"/>
  </w:style>
  <w:style w:type="paragraph" w:styleId="Sinespaciado">
    <w:name w:val="No Spacing"/>
    <w:uiPriority w:val="1"/>
    <w:qFormat/>
    <w:rsid w:val="0018353B"/>
    <w:pPr>
      <w:spacing w:after="0" w:line="240" w:lineRule="auto"/>
    </w:pPr>
  </w:style>
  <w:style w:type="character" w:styleId="Refdecomentario">
    <w:name w:val="annotation reference"/>
    <w:basedOn w:val="Fuentedeprrafopredeter"/>
    <w:uiPriority w:val="99"/>
    <w:semiHidden/>
    <w:unhideWhenUsed/>
    <w:rsid w:val="0018353B"/>
    <w:rPr>
      <w:sz w:val="16"/>
      <w:szCs w:val="16"/>
    </w:rPr>
  </w:style>
  <w:style w:type="paragraph" w:styleId="Textocomentario">
    <w:name w:val="annotation text"/>
    <w:basedOn w:val="Normal"/>
    <w:link w:val="TextocomentarioCar"/>
    <w:uiPriority w:val="99"/>
    <w:semiHidden/>
    <w:unhideWhenUsed/>
    <w:rsid w:val="001835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353B"/>
    <w:rPr>
      <w:sz w:val="20"/>
      <w:szCs w:val="20"/>
    </w:rPr>
  </w:style>
  <w:style w:type="paragraph" w:styleId="Textodeglobo">
    <w:name w:val="Balloon Text"/>
    <w:basedOn w:val="Normal"/>
    <w:link w:val="TextodegloboCar"/>
    <w:uiPriority w:val="99"/>
    <w:semiHidden/>
    <w:unhideWhenUsed/>
    <w:rsid w:val="00183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53B"/>
    <w:rPr>
      <w:rFonts w:ascii="Tahoma" w:hAnsi="Tahoma" w:cs="Tahoma"/>
      <w:sz w:val="16"/>
      <w:szCs w:val="16"/>
    </w:rPr>
  </w:style>
  <w:style w:type="character" w:styleId="Hipervnculo">
    <w:name w:val="Hyperlink"/>
    <w:basedOn w:val="Fuentedeprrafopredeter"/>
    <w:uiPriority w:val="99"/>
    <w:unhideWhenUsed/>
    <w:rsid w:val="009B3A1E"/>
    <w:rPr>
      <w:color w:val="034638" w:themeColor="hyperlink"/>
      <w:u w:val="single"/>
    </w:rPr>
  </w:style>
  <w:style w:type="paragraph" w:styleId="Textoindependiente">
    <w:name w:val="Body Text"/>
    <w:basedOn w:val="Normal"/>
    <w:link w:val="TextoindependienteCar"/>
    <w:uiPriority w:val="1"/>
    <w:qFormat/>
    <w:rsid w:val="00407A64"/>
    <w:pPr>
      <w:widowControl w:val="0"/>
      <w:autoSpaceDE w:val="0"/>
      <w:autoSpaceDN w:val="0"/>
      <w:spacing w:after="0" w:line="240" w:lineRule="auto"/>
    </w:pPr>
    <w:rPr>
      <w:rFonts w:ascii="Mulish" w:eastAsia="Mulish" w:hAnsi="Mulish" w:cs="Mulish"/>
      <w:sz w:val="20"/>
      <w:szCs w:val="20"/>
      <w:lang w:eastAsia="es-ES" w:bidi="es-ES"/>
    </w:rPr>
  </w:style>
  <w:style w:type="character" w:customStyle="1" w:styleId="TextoindependienteCar">
    <w:name w:val="Texto independiente Car"/>
    <w:basedOn w:val="Fuentedeprrafopredeter"/>
    <w:link w:val="Textoindependiente"/>
    <w:uiPriority w:val="1"/>
    <w:rsid w:val="00407A64"/>
    <w:rPr>
      <w:rFonts w:ascii="Mulish" w:eastAsia="Mulish" w:hAnsi="Mulish" w:cs="Mulish"/>
      <w:sz w:val="20"/>
      <w:szCs w:val="20"/>
      <w:lang w:eastAsia="es-ES" w:bidi="es-ES"/>
    </w:rPr>
  </w:style>
  <w:style w:type="paragraph" w:styleId="Prrafodelista">
    <w:name w:val="List Paragraph"/>
    <w:basedOn w:val="Normal"/>
    <w:uiPriority w:val="34"/>
    <w:qFormat/>
    <w:rsid w:val="00BA4068"/>
    <w:pPr>
      <w:ind w:left="720"/>
      <w:contextualSpacing/>
    </w:pPr>
  </w:style>
  <w:style w:type="table" w:customStyle="1" w:styleId="Sombreadomedio2-nfasis32">
    <w:name w:val="Sombreado medio 2 - Énfasis 32"/>
    <w:basedOn w:val="Tablanormal"/>
    <w:next w:val="Sombreadomedio2-nfasis3"/>
    <w:uiPriority w:val="64"/>
    <w:rsid w:val="00BA4068"/>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BA40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C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4C5A" w:themeFill="accent3"/>
      </w:tcPr>
    </w:tblStylePr>
    <w:tblStylePr w:type="lastCol">
      <w:rPr>
        <w:b/>
        <w:bCs/>
        <w:color w:val="FFFFFF" w:themeColor="background1"/>
      </w:rPr>
      <w:tblPr/>
      <w:tcPr>
        <w:tcBorders>
          <w:left w:val="nil"/>
          <w:right w:val="nil"/>
          <w:insideH w:val="nil"/>
          <w:insideV w:val="nil"/>
        </w:tcBorders>
        <w:shd w:val="clear" w:color="auto" w:fill="244C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cuadrculaclara">
    <w:name w:val="Grid Table Light"/>
    <w:basedOn w:val="Tablanormal"/>
    <w:uiPriority w:val="40"/>
    <w:rsid w:val="00BA40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2">
    <w:name w:val="List Table 3 Accent 2"/>
    <w:basedOn w:val="Tablanormal"/>
    <w:uiPriority w:val="48"/>
    <w:rsid w:val="00EF73FE"/>
    <w:pPr>
      <w:spacing w:after="0" w:line="240" w:lineRule="auto"/>
    </w:pPr>
    <w:rPr>
      <w:lang w:eastAsia="es-ES"/>
    </w:rPr>
    <w:tblPr>
      <w:tblStyleRowBandSize w:val="1"/>
      <w:tblStyleColBandSize w:val="1"/>
      <w:tblBorders>
        <w:top w:val="single" w:sz="4" w:space="0" w:color="CB9700" w:themeColor="accent2"/>
        <w:left w:val="single" w:sz="4" w:space="0" w:color="CB9700" w:themeColor="accent2"/>
        <w:bottom w:val="single" w:sz="4" w:space="0" w:color="CB9700" w:themeColor="accent2"/>
        <w:right w:val="single" w:sz="4" w:space="0" w:color="CB9700" w:themeColor="accent2"/>
      </w:tblBorders>
    </w:tblPr>
    <w:tblStylePr w:type="firstRow">
      <w:rPr>
        <w:b/>
        <w:bCs/>
        <w:color w:val="FFFFFF" w:themeColor="background1"/>
      </w:rPr>
      <w:tblPr/>
      <w:tcPr>
        <w:shd w:val="clear" w:color="auto" w:fill="CB9700" w:themeFill="accent2"/>
      </w:tcPr>
    </w:tblStylePr>
    <w:tblStylePr w:type="lastRow">
      <w:rPr>
        <w:b/>
        <w:bCs/>
      </w:rPr>
      <w:tblPr/>
      <w:tcPr>
        <w:tcBorders>
          <w:top w:val="double" w:sz="4" w:space="0" w:color="CB97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9700" w:themeColor="accent2"/>
          <w:right w:val="single" w:sz="4" w:space="0" w:color="CB9700" w:themeColor="accent2"/>
        </w:tcBorders>
      </w:tcPr>
    </w:tblStylePr>
    <w:tblStylePr w:type="band1Horz">
      <w:tblPr/>
      <w:tcPr>
        <w:tcBorders>
          <w:top w:val="single" w:sz="4" w:space="0" w:color="CB9700" w:themeColor="accent2"/>
          <w:bottom w:val="single" w:sz="4" w:space="0" w:color="CB97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9700" w:themeColor="accent2"/>
          <w:left w:val="nil"/>
        </w:tcBorders>
      </w:tcPr>
    </w:tblStylePr>
    <w:tblStylePr w:type="swCell">
      <w:tblPr/>
      <w:tcPr>
        <w:tcBorders>
          <w:top w:val="double" w:sz="4" w:space="0" w:color="CB9700" w:themeColor="accent2"/>
          <w:right w:val="nil"/>
        </w:tcBorders>
      </w:tcPr>
    </w:tblStylePr>
  </w:style>
  <w:style w:type="character" w:styleId="Mencinsinresolver">
    <w:name w:val="Unresolved Mention"/>
    <w:basedOn w:val="Fuentedeprrafopredeter"/>
    <w:uiPriority w:val="99"/>
    <w:semiHidden/>
    <w:unhideWhenUsed/>
    <w:rsid w:val="00D70DAE"/>
    <w:rPr>
      <w:color w:val="605E5C"/>
      <w:shd w:val="clear" w:color="auto" w:fill="E1DFDD"/>
    </w:rPr>
  </w:style>
  <w:style w:type="table" w:styleId="Tablaconcuadrcula4-nfasis2">
    <w:name w:val="Grid Table 4 Accent 2"/>
    <w:basedOn w:val="Tablanormal"/>
    <w:uiPriority w:val="49"/>
    <w:rsid w:val="005E34BF"/>
    <w:pPr>
      <w:spacing w:after="0" w:line="240" w:lineRule="auto"/>
    </w:pPr>
    <w:rPr>
      <w:lang w:eastAsia="es-ES"/>
    </w:rPr>
    <w:tblPr>
      <w:tblStyleRowBandSize w:val="1"/>
      <w:tblStyleColBandSize w:val="1"/>
      <w:tblBorders>
        <w:top w:val="single" w:sz="4" w:space="0" w:color="FFCF46" w:themeColor="accent2" w:themeTint="99"/>
        <w:left w:val="single" w:sz="4" w:space="0" w:color="FFCF46" w:themeColor="accent2" w:themeTint="99"/>
        <w:bottom w:val="single" w:sz="4" w:space="0" w:color="FFCF46" w:themeColor="accent2" w:themeTint="99"/>
        <w:right w:val="single" w:sz="4" w:space="0" w:color="FFCF46" w:themeColor="accent2" w:themeTint="99"/>
        <w:insideH w:val="single" w:sz="4" w:space="0" w:color="FFCF46" w:themeColor="accent2" w:themeTint="99"/>
        <w:insideV w:val="single" w:sz="4" w:space="0" w:color="FFCF46" w:themeColor="accent2" w:themeTint="99"/>
      </w:tblBorders>
    </w:tblPr>
    <w:tblStylePr w:type="firstRow">
      <w:rPr>
        <w:b/>
        <w:bCs/>
        <w:color w:val="FFFFFF" w:themeColor="background1"/>
      </w:rPr>
      <w:tblPr/>
      <w:tcPr>
        <w:tcBorders>
          <w:top w:val="single" w:sz="4" w:space="0" w:color="CB9700" w:themeColor="accent2"/>
          <w:left w:val="single" w:sz="4" w:space="0" w:color="CB9700" w:themeColor="accent2"/>
          <w:bottom w:val="single" w:sz="4" w:space="0" w:color="CB9700" w:themeColor="accent2"/>
          <w:right w:val="single" w:sz="4" w:space="0" w:color="CB9700" w:themeColor="accent2"/>
          <w:insideH w:val="nil"/>
          <w:insideV w:val="nil"/>
        </w:tcBorders>
        <w:shd w:val="clear" w:color="auto" w:fill="CB9700" w:themeFill="accent2"/>
      </w:tcPr>
    </w:tblStylePr>
    <w:tblStylePr w:type="lastRow">
      <w:rPr>
        <w:b/>
        <w:bCs/>
      </w:rPr>
      <w:tblPr/>
      <w:tcPr>
        <w:tcBorders>
          <w:top w:val="double" w:sz="4" w:space="0" w:color="CB9700" w:themeColor="accent2"/>
        </w:tcBorders>
      </w:tcPr>
    </w:tblStylePr>
    <w:tblStylePr w:type="firstCol">
      <w:rPr>
        <w:b/>
        <w:bCs/>
      </w:rPr>
    </w:tblStylePr>
    <w:tblStylePr w:type="lastCol">
      <w:rPr>
        <w:b/>
        <w:bCs/>
      </w:rPr>
    </w:tblStylePr>
    <w:tblStylePr w:type="band1Vert">
      <w:tblPr/>
      <w:tcPr>
        <w:shd w:val="clear" w:color="auto" w:fill="FFEFC1" w:themeFill="accent2" w:themeFillTint="33"/>
      </w:tcPr>
    </w:tblStylePr>
    <w:tblStylePr w:type="band1Horz">
      <w:tblPr/>
      <w:tcPr>
        <w:shd w:val="clear" w:color="auto" w:fill="FFEFC1" w:themeFill="accent2" w:themeFillTint="33"/>
      </w:tcPr>
    </w:tblStylePr>
  </w:style>
  <w:style w:type="table" w:styleId="Tablaconcuadrcula4-nfasis3">
    <w:name w:val="Grid Table 4 Accent 3"/>
    <w:basedOn w:val="Tablanormal"/>
    <w:uiPriority w:val="49"/>
    <w:rsid w:val="005412C5"/>
    <w:pPr>
      <w:spacing w:after="0" w:line="240" w:lineRule="auto"/>
    </w:pPr>
    <w:tblPr>
      <w:tblStyleRowBandSize w:val="1"/>
      <w:tblStyleColBandSize w:val="1"/>
      <w:tblBorders>
        <w:top w:val="single" w:sz="4" w:space="0" w:color="5AA3BD" w:themeColor="accent3" w:themeTint="99"/>
        <w:left w:val="single" w:sz="4" w:space="0" w:color="5AA3BD" w:themeColor="accent3" w:themeTint="99"/>
        <w:bottom w:val="single" w:sz="4" w:space="0" w:color="5AA3BD" w:themeColor="accent3" w:themeTint="99"/>
        <w:right w:val="single" w:sz="4" w:space="0" w:color="5AA3BD" w:themeColor="accent3" w:themeTint="99"/>
        <w:insideH w:val="single" w:sz="4" w:space="0" w:color="5AA3BD" w:themeColor="accent3" w:themeTint="99"/>
        <w:insideV w:val="single" w:sz="4" w:space="0" w:color="5AA3BD" w:themeColor="accent3" w:themeTint="99"/>
      </w:tblBorders>
    </w:tblPr>
    <w:tblStylePr w:type="firstRow">
      <w:rPr>
        <w:b/>
        <w:bCs/>
        <w:color w:val="FFFFFF" w:themeColor="background1"/>
      </w:rPr>
      <w:tblPr/>
      <w:tcPr>
        <w:tcBorders>
          <w:top w:val="single" w:sz="4" w:space="0" w:color="244C5A" w:themeColor="accent3"/>
          <w:left w:val="single" w:sz="4" w:space="0" w:color="244C5A" w:themeColor="accent3"/>
          <w:bottom w:val="single" w:sz="4" w:space="0" w:color="244C5A" w:themeColor="accent3"/>
          <w:right w:val="single" w:sz="4" w:space="0" w:color="244C5A" w:themeColor="accent3"/>
          <w:insideH w:val="nil"/>
          <w:insideV w:val="nil"/>
        </w:tcBorders>
        <w:shd w:val="clear" w:color="auto" w:fill="244C5A" w:themeFill="accent3"/>
      </w:tcPr>
    </w:tblStylePr>
    <w:tblStylePr w:type="lastRow">
      <w:rPr>
        <w:b/>
        <w:bCs/>
      </w:rPr>
      <w:tblPr/>
      <w:tcPr>
        <w:tcBorders>
          <w:top w:val="double" w:sz="4" w:space="0" w:color="244C5A" w:themeColor="accent3"/>
        </w:tcBorders>
      </w:tcPr>
    </w:tblStylePr>
    <w:tblStylePr w:type="firstCol">
      <w:rPr>
        <w:b/>
        <w:bCs/>
      </w:rPr>
    </w:tblStylePr>
    <w:tblStylePr w:type="lastCol">
      <w:rPr>
        <w:b/>
        <w:bCs/>
      </w:rPr>
    </w:tblStylePr>
    <w:tblStylePr w:type="band1Vert">
      <w:tblPr/>
      <w:tcPr>
        <w:shd w:val="clear" w:color="auto" w:fill="C8E0E9" w:themeFill="accent3" w:themeFillTint="33"/>
      </w:tcPr>
    </w:tblStylePr>
    <w:tblStylePr w:type="band1Horz">
      <w:tblPr/>
      <w:tcPr>
        <w:shd w:val="clear" w:color="auto" w:fill="C8E0E9" w:themeFill="accent3" w:themeFillTint="33"/>
      </w:tcPr>
    </w:tblStylePr>
  </w:style>
  <w:style w:type="paragraph" w:styleId="Asuntodelcomentario">
    <w:name w:val="annotation subject"/>
    <w:basedOn w:val="Textocomentario"/>
    <w:next w:val="Textocomentario"/>
    <w:link w:val="AsuntodelcomentarioCar"/>
    <w:uiPriority w:val="99"/>
    <w:semiHidden/>
    <w:unhideWhenUsed/>
    <w:rsid w:val="00EE3859"/>
    <w:rPr>
      <w:b/>
      <w:bCs/>
    </w:rPr>
  </w:style>
  <w:style w:type="character" w:customStyle="1" w:styleId="AsuntodelcomentarioCar">
    <w:name w:val="Asunto del comentario Car"/>
    <w:basedOn w:val="TextocomentarioCar"/>
    <w:link w:val="Asuntodelcomentario"/>
    <w:uiPriority w:val="99"/>
    <w:semiHidden/>
    <w:rsid w:val="00EE3859"/>
    <w:rPr>
      <w:b/>
      <w:bCs/>
      <w:sz w:val="20"/>
      <w:szCs w:val="20"/>
    </w:rPr>
  </w:style>
  <w:style w:type="paragraph" w:styleId="Revisin">
    <w:name w:val="Revision"/>
    <w:hidden/>
    <w:uiPriority w:val="99"/>
    <w:semiHidden/>
    <w:rsid w:val="00D84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jodetransparencia.es/evaluacion/evaluacion2025/2025/entidades-perceptoras-subvenciones-ayudas-public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consejodetransparencia.es" TargetMode="External"/><Relationship Id="rId4" Type="http://schemas.openxmlformats.org/officeDocument/2006/relationships/settings" Target="settings.xml"/><Relationship Id="rId9" Type="http://schemas.openxmlformats.org/officeDocument/2006/relationships/hyperlink" Target="https://consejodetransparencia.es/evaluac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tbg@consejodetransparencia.es" TargetMode="External"/><Relationship Id="rId1" Type="http://schemas.openxmlformats.org/officeDocument/2006/relationships/hyperlink" Target="mailto:ctbg@consejodetransparenc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rgbClr val="0C0C0C"/>
      </a:dk1>
      <a:lt1>
        <a:sysClr val="window" lastClr="FFFFFF"/>
      </a:lt1>
      <a:dk2>
        <a:srgbClr val="00806F"/>
      </a:dk2>
      <a:lt2>
        <a:srgbClr val="D6D2C4"/>
      </a:lt2>
      <a:accent1>
        <a:srgbClr val="00806F"/>
      </a:accent1>
      <a:accent2>
        <a:srgbClr val="CB9700"/>
      </a:accent2>
      <a:accent3>
        <a:srgbClr val="244C5A"/>
      </a:accent3>
      <a:accent4>
        <a:srgbClr val="034638"/>
      </a:accent4>
      <a:accent5>
        <a:srgbClr val="00806F"/>
      </a:accent5>
      <a:accent6>
        <a:srgbClr val="034638"/>
      </a:accent6>
      <a:hlink>
        <a:srgbClr val="034638"/>
      </a:hlink>
      <a:folHlink>
        <a:srgbClr val="CB97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5FD049-96EB-4473-A8A5-C7F6FF3C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2000</Words>
  <Characters>11002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FERRANDEZ FACI</dc:creator>
  <cp:lastModifiedBy>ROSA BLANCA DÍAZ HERNANDO</cp:lastModifiedBy>
  <cp:revision>9</cp:revision>
  <cp:lastPrinted>2016-01-05T09:13:00Z</cp:lastPrinted>
  <dcterms:created xsi:type="dcterms:W3CDTF">2026-01-21T08:05:00Z</dcterms:created>
  <dcterms:modified xsi:type="dcterms:W3CDTF">2026-01-21T08:26:00Z</dcterms:modified>
</cp:coreProperties>
</file>