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D" w:rsidRDefault="00710031" w:rsidP="00E36CE0">
      <w:pPr>
        <w:spacing w:before="120" w:after="120" w:line="312" w:lineRule="auto"/>
        <w:jc w:val="both"/>
      </w:pPr>
      <w:r>
        <w:rPr>
          <w:noProof/>
        </w:rPr>
        <mc:AlternateContent>
          <mc:Choice Requires="wps">
            <w:drawing>
              <wp:anchor distT="0" distB="0" distL="114300" distR="114300" simplePos="0" relativeHeight="251661312" behindDoc="0" locked="0" layoutInCell="1" allowOverlap="1" wp14:anchorId="493A5244" wp14:editId="5D72E014">
                <wp:simplePos x="0" y="0"/>
                <wp:positionH relativeFrom="column">
                  <wp:posOffset>352425</wp:posOffset>
                </wp:positionH>
                <wp:positionV relativeFrom="paragraph">
                  <wp:posOffset>-304801</wp:posOffset>
                </wp:positionV>
                <wp:extent cx="6464300" cy="1952625"/>
                <wp:effectExtent l="0" t="0" r="0" b="0"/>
                <wp:wrapNone/>
                <wp:docPr id="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sz w:val="50"/>
                                <w:szCs w:val="50"/>
                              </w:rPr>
                              <w:id w:val="228783080"/>
                            </w:sdtPr>
                            <w:sdtEndPr/>
                            <w:sdtContent>
                              <w:p w:rsidR="008D2063" w:rsidRPr="008926B8" w:rsidRDefault="000516AA" w:rsidP="00B40246">
                                <w:pPr>
                                  <w:pStyle w:val="Ttulodelboletn"/>
                                  <w:jc w:val="center"/>
                                  <w:rPr>
                                    <w:rFonts w:ascii="Century Gothic" w:hAnsi="Century Gothic"/>
                                    <w:sz w:val="50"/>
                                    <w:szCs w:val="50"/>
                                  </w:rPr>
                                </w:pPr>
                                <w:sdt>
                                  <w:sdtPr>
                                    <w:rPr>
                                      <w:rFonts w:ascii="Century Gothic" w:eastAsia="Times New Roman" w:hAnsi="Century Gothic" w:cs="Times New Roman"/>
                                      <w:b w:val="0"/>
                                      <w:sz w:val="40"/>
                                      <w:szCs w:val="40"/>
                                      <w:lang w:eastAsia="en-US"/>
                                    </w:rPr>
                                    <w:id w:val="170306756"/>
                                  </w:sdtPr>
                                  <w:sdtEndPr/>
                                  <w:sdtContent>
                                    <w:r w:rsidR="008D2063" w:rsidRPr="008926B8">
                                      <w:rPr>
                                        <w:rFonts w:ascii="Century Gothic" w:eastAsia="Times New Roman" w:hAnsi="Century Gothic" w:cs="Times New Roman"/>
                                        <w:b w:val="0"/>
                                        <w:sz w:val="40"/>
                                        <w:szCs w:val="40"/>
                                        <w:lang w:eastAsia="en-US"/>
                                      </w:rPr>
                                      <w:t>Informe de r</w:t>
                                    </w:r>
                                    <w:r w:rsidR="008D2063" w:rsidRPr="008926B8">
                                      <w:rPr>
                                        <w:rFonts w:ascii="Century Gothic" w:eastAsia="Times New Roman" w:hAnsi="Century Gothic" w:cs="Times New Roman"/>
                                        <w:b w:val="0"/>
                                        <w:sz w:val="40"/>
                                        <w:szCs w:val="40"/>
                                        <w:lang w:eastAsia="en-US" w:bidi="es-ES"/>
                                      </w:rPr>
                                      <w:t xml:space="preserve">evisión  del cumplimiento de las recomendaciones efectuadas por el CTBG en materia de Publicidad Activa  por parte del </w:t>
                                    </w:r>
                                    <w:r w:rsidR="008D2063">
                                      <w:rPr>
                                        <w:rFonts w:ascii="Century Gothic" w:eastAsia="Times New Roman" w:hAnsi="Century Gothic" w:cs="Times New Roman"/>
                                        <w:b w:val="0"/>
                                        <w:sz w:val="40"/>
                                        <w:szCs w:val="40"/>
                                        <w:lang w:eastAsia="en-US" w:bidi="es-ES"/>
                                      </w:rPr>
                                      <w:t>Portal de Transparencia de la Administración General del Estado</w:t>
                                    </w:r>
                                  </w:sdtContent>
                                </w:sdt>
                                <w:r w:rsidR="008D2063" w:rsidRPr="008926B8">
                                  <w:rPr>
                                    <w:rFonts w:ascii="Century Gothic" w:hAnsi="Century Gothic"/>
                                    <w:sz w:val="50"/>
                                    <w:szCs w:val="50"/>
                                    <w:lang w:bidi="es-ES"/>
                                  </w:rPr>
                                  <w:t xml:space="preserve"> </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left:0;text-align:left;margin-left:27.75pt;margin-top:-24pt;width:509pt;height:1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" filled="f" stroked="f">
                <v:textbox inset=",7.2pt,,7.2pt">
                  <w:txbxContent>
                    <w:sdt>
                      <w:sdtPr>
                        <w:rPr>
                          <w:rFonts w:ascii="Century Gothic" w:hAnsi="Century Gothic"/>
                          <w:sz w:val="50"/>
                          <w:szCs w:val="50"/>
                        </w:rPr>
                        <w:id w:val="228783080"/>
                      </w:sdtPr>
                      <w:sdtContent>
                        <w:p w:rsidR="007D42ED" w:rsidRPr="008926B8" w:rsidRDefault="007D42ED" w:rsidP="00B40246">
                          <w:pPr>
                            <w:pStyle w:val="Ttulodelboletn"/>
                            <w:jc w:val="center"/>
                            <w:rPr>
                              <w:rFonts w:ascii="Century Gothic" w:hAnsi="Century Gothic"/>
                              <w:sz w:val="50"/>
                              <w:szCs w:val="50"/>
                            </w:rPr>
                          </w:pPr>
                          <w:sdt>
                            <w:sdtPr>
                              <w:rPr>
                                <w:rFonts w:ascii="Century Gothic" w:eastAsia="Times New Roman" w:hAnsi="Century Gothic" w:cs="Times New Roman"/>
                                <w:b w:val="0"/>
                                <w:sz w:val="40"/>
                                <w:szCs w:val="40"/>
                                <w:lang w:eastAsia="en-US"/>
                              </w:rPr>
                              <w:id w:val="170306756"/>
                            </w:sdtPr>
                            <w:sdtContent>
                              <w:r w:rsidRPr="008926B8">
                                <w:rPr>
                                  <w:rFonts w:ascii="Century Gothic" w:eastAsia="Times New Roman" w:hAnsi="Century Gothic" w:cs="Times New Roman"/>
                                  <w:b w:val="0"/>
                                  <w:sz w:val="40"/>
                                  <w:szCs w:val="40"/>
                                  <w:lang w:eastAsia="en-US"/>
                                </w:rPr>
                                <w:t>Informe de r</w:t>
                              </w:r>
                              <w:r w:rsidRPr="008926B8">
                                <w:rPr>
                                  <w:rFonts w:ascii="Century Gothic" w:eastAsia="Times New Roman" w:hAnsi="Century Gothic" w:cs="Times New Roman"/>
                                  <w:b w:val="0"/>
                                  <w:sz w:val="40"/>
                                  <w:szCs w:val="40"/>
                                  <w:lang w:eastAsia="en-US" w:bidi="es-ES"/>
                                </w:rPr>
                                <w:t xml:space="preserve">evisión  del cumplimiento de las recomendaciones efectuadas por el CTBG en materia de Publicidad Activa  por parte del </w:t>
                              </w:r>
                              <w:r>
                                <w:rPr>
                                  <w:rFonts w:ascii="Century Gothic" w:eastAsia="Times New Roman" w:hAnsi="Century Gothic" w:cs="Times New Roman"/>
                                  <w:b w:val="0"/>
                                  <w:sz w:val="40"/>
                                  <w:szCs w:val="40"/>
                                  <w:lang w:eastAsia="en-US" w:bidi="es-ES"/>
                                </w:rPr>
                                <w:t>Portal de Transparencia de la Administración General del Estado</w:t>
                              </w:r>
                            </w:sdtContent>
                          </w:sdt>
                          <w:r w:rsidRPr="008926B8">
                            <w:rPr>
                              <w:rFonts w:ascii="Century Gothic" w:hAnsi="Century Gothic"/>
                              <w:sz w:val="50"/>
                              <w:szCs w:val="50"/>
                              <w:lang w:bidi="es-ES"/>
                            </w:rPr>
                            <w:t xml:space="preserve"> </w:t>
                          </w:r>
                        </w:p>
                      </w:sdtContent>
                    </w:sdt>
                  </w:txbxContent>
                </v:textbox>
              </v:shape>
            </w:pict>
          </mc:Fallback>
        </mc:AlternateContent>
      </w:r>
    </w:p>
    <w:p w:rsidR="00B40246" w:rsidRPr="00B1184C" w:rsidRDefault="00D96F84" w:rsidP="00E36CE0">
      <w:pPr>
        <w:spacing w:before="120" w:after="120" w:line="312" w:lineRule="auto"/>
        <w:jc w:val="both"/>
      </w:pPr>
      <w:r>
        <w:rPr>
          <w:noProof/>
        </w:rPr>
        <mc:AlternateContent>
          <mc:Choice Requires="wps">
            <w:drawing>
              <wp:anchor distT="0" distB="0" distL="114300" distR="114300" simplePos="0" relativeHeight="251659264" behindDoc="0" locked="0" layoutInCell="1" allowOverlap="1" wp14:anchorId="415606EB" wp14:editId="1C542D4E">
                <wp:simplePos x="0" y="0"/>
                <wp:positionH relativeFrom="page">
                  <wp:posOffset>-180340</wp:posOffset>
                </wp:positionH>
                <wp:positionV relativeFrom="page">
                  <wp:posOffset>-116840</wp:posOffset>
                </wp:positionV>
                <wp:extent cx="8001000" cy="299783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997835"/>
                        </a:xfrm>
                        <a:prstGeom prst="rect">
                          <a:avLst/>
                        </a:prstGeom>
                        <a:solidFill>
                          <a:srgbClr val="50866C"/>
                        </a:solidFill>
                        <a:ln>
                          <a:noFill/>
                        </a:ln>
                        <a:effectLst/>
                      </wps:spPr>
                      <wps:txbx>
                        <w:txbxContent>
                          <w:p w:rsidR="008D2063" w:rsidRDefault="008D2063" w:rsidP="00B40246">
                            <w:pPr>
                              <w:pStyle w:val="Ttulo2"/>
                              <w:tabs>
                                <w:tab w:val="left" w:pos="142"/>
                              </w:tabs>
                              <w:ind w:left="567"/>
                            </w:pPr>
                            <w:r>
                              <w:rPr>
                                <w:noProof/>
                              </w:rPr>
                              <w:drawing>
                                <wp:inline distT="0" distB="0" distL="0" distR="0" wp14:anchorId="3FA69DA2" wp14:editId="75FA1981">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left:0;text-align:left;margin-left:-14.2pt;margin-top:-9.2pt;width:630pt;height:2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" fillcolor="#50866c" stroked="f">
                <v:textbox inset=",7.2pt,,7.2pt">
                  <w:txbxContent>
                    <w:p w:rsidR="007D42ED" w:rsidRDefault="007D42ED" w:rsidP="00B40246">
                      <w:pPr>
                        <w:pStyle w:val="Ttulo2"/>
                        <w:tabs>
                          <w:tab w:val="left" w:pos="142"/>
                        </w:tabs>
                        <w:ind w:left="567"/>
                      </w:pPr>
                      <w:r>
                        <w:rPr>
                          <w:noProof/>
                        </w:rPr>
                        <w:drawing>
                          <wp:inline distT="0" distB="0" distL="0" distR="0" wp14:anchorId="3FA69DA2" wp14:editId="75FA1981">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v:textbox>
                <w10:wrap anchorx="page" anchory="page"/>
              </v:rect>
            </w:pict>
          </mc:Fallback>
        </mc:AlternateContent>
      </w:r>
    </w:p>
    <w:p w:rsidR="00B40246" w:rsidRPr="00B1184C" w:rsidRDefault="00B40246" w:rsidP="00E36CE0">
      <w:pPr>
        <w:spacing w:before="120" w:after="120" w:line="312" w:lineRule="auto"/>
        <w:jc w:val="both"/>
      </w:pPr>
    </w:p>
    <w:p w:rsidR="00B40246" w:rsidRPr="00B1184C" w:rsidRDefault="00B40246" w:rsidP="00E36CE0">
      <w:pPr>
        <w:spacing w:before="120" w:after="120" w:line="312" w:lineRule="auto"/>
        <w:jc w:val="both"/>
      </w:pPr>
    </w:p>
    <w:p w:rsidR="00B40246" w:rsidRPr="00B1184C" w:rsidRDefault="00B40246" w:rsidP="00E36CE0">
      <w:pPr>
        <w:spacing w:before="120" w:after="120" w:line="312" w:lineRule="auto"/>
        <w:jc w:val="both"/>
        <w:rPr>
          <w:rFonts w:ascii="Arial" w:hAnsi="Arial"/>
          <w:b/>
          <w:sz w:val="36"/>
        </w:rPr>
      </w:pPr>
    </w:p>
    <w:p w:rsidR="00B40246" w:rsidRPr="0063780B" w:rsidRDefault="00D96F84" w:rsidP="00E36CE0">
      <w:pPr>
        <w:spacing w:before="120" w:after="120" w:line="312" w:lineRule="auto"/>
        <w:jc w:val="both"/>
        <w:rPr>
          <w:rFonts w:ascii="Arial" w:hAnsi="Arial"/>
          <w:b/>
          <w:sz w:val="24"/>
        </w:rPr>
      </w:pPr>
      <w:r>
        <w:rPr>
          <w:noProof/>
        </w:rPr>
        <mc:AlternateContent>
          <mc:Choice Requires="wps">
            <w:drawing>
              <wp:anchor distT="0" distB="0" distL="114300" distR="114300" simplePos="0" relativeHeight="251660288" behindDoc="0" locked="0" layoutInCell="1" allowOverlap="1" wp14:anchorId="46810293" wp14:editId="5E4CA967">
                <wp:simplePos x="0" y="0"/>
                <wp:positionH relativeFrom="page">
                  <wp:posOffset>-180975</wp:posOffset>
                </wp:positionH>
                <wp:positionV relativeFrom="page">
                  <wp:posOffset>2638425</wp:posOffset>
                </wp:positionV>
                <wp:extent cx="8001000" cy="245110"/>
                <wp:effectExtent l="0" t="0" r="0" b="2540"/>
                <wp:wrapTight wrapText="bothSides">
                  <wp:wrapPolygon edited="0">
                    <wp:start x="0" y="0"/>
                    <wp:lineTo x="0" y="20145"/>
                    <wp:lineTo x="21549" y="20145"/>
                    <wp:lineTo x="21549" y="0"/>
                    <wp:lineTo x="0" y="0"/>
                  </wp:wrapPolygon>
                </wp:wrapTight>
                <wp:docPr id="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45110"/>
                        </a:xfrm>
                        <a:prstGeom prst="rect">
                          <a:avLst/>
                        </a:prstGeom>
                        <a:solidFill>
                          <a:srgbClr val="C5DDD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4.25pt;margin-top:207.75pt;width:630pt;height:1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" fillcolor="#c5ddd2" stroked="f">
                <v:textbox inset=",7.2pt,,7.2pt"/>
                <w10:wrap type="tight" anchorx="page" anchory="page"/>
              </v:rect>
            </w:pict>
          </mc:Fallback>
        </mc:AlternateContent>
      </w:r>
    </w:p>
    <w:p w:rsidR="000C6CFF" w:rsidRDefault="000516AA" w:rsidP="00E36CE0">
      <w:pPr>
        <w:spacing w:before="120" w:after="120" w:line="312" w:lineRule="auto"/>
        <w:jc w:val="both"/>
      </w:pPr>
      <w:sdt>
        <w:sdtPr>
          <w:rPr>
            <w:rFonts w:eastAsia="Times New Roman" w:cs="Times New Roman"/>
            <w:b/>
            <w:sz w:val="30"/>
            <w:szCs w:val="30"/>
            <w:lang w:eastAsia="en-US"/>
          </w:rPr>
          <w:id w:val="584495518"/>
          <w:placeholder>
            <w:docPart w:val="1B1C39C65E7642489A24DCE1C769E9D8"/>
          </w:placeholder>
        </w:sdtPr>
        <w:sdtEndPr>
          <w:rPr>
            <w:b w:val="0"/>
            <w:color w:val="50866C"/>
          </w:rPr>
        </w:sdtEndPr>
        <w:sdtContent>
          <w:r w:rsidR="008926B8" w:rsidRPr="008926B8">
            <w:rPr>
              <w:rFonts w:eastAsia="Times New Roman" w:cs="Times New Roman"/>
              <w:b/>
              <w:sz w:val="30"/>
              <w:szCs w:val="30"/>
              <w:lang w:eastAsia="en-US"/>
            </w:rPr>
            <w:t xml:space="preserve">I. </w:t>
          </w:r>
          <w:r w:rsidR="008926B8" w:rsidRPr="008926B8">
            <w:rPr>
              <w:rFonts w:eastAsia="Times New Roman" w:cs="Times New Roman"/>
              <w:b/>
              <w:color w:val="50866C"/>
              <w:sz w:val="30"/>
              <w:szCs w:val="30"/>
              <w:lang w:eastAsia="en-US" w:bidi="es-ES"/>
            </w:rPr>
            <w:t>Cumplimiento de recomendaciones</w:t>
          </w:r>
        </w:sdtContent>
      </w:sdt>
    </w:p>
    <w:p w:rsidR="000C6CFF" w:rsidRDefault="000C6CFF" w:rsidP="00E36CE0">
      <w:pPr>
        <w:spacing w:before="120" w:after="120" w:line="312" w:lineRule="auto"/>
        <w:jc w:val="both"/>
      </w:pPr>
    </w:p>
    <w:p w:rsidR="008926B8" w:rsidRDefault="008926B8" w:rsidP="008926B8">
      <w:pPr>
        <w:pStyle w:val="Ttulo2"/>
      </w:pPr>
      <w:r>
        <w:t>I.1. Localización y Estructuración de la información</w:t>
      </w:r>
    </w:p>
    <w:p w:rsidR="008926B8" w:rsidRPr="008926B8" w:rsidRDefault="008926B8" w:rsidP="008926B8"/>
    <w:tbl>
      <w:tblPr>
        <w:tblStyle w:val="Tablaconcuadrcula"/>
        <w:tblW w:w="0" w:type="auto"/>
        <w:tblLook w:val="04A0" w:firstRow="1" w:lastRow="0" w:firstColumn="1" w:lastColumn="0" w:noHBand="0" w:noVBand="1"/>
      </w:tblPr>
      <w:tblGrid>
        <w:gridCol w:w="1668"/>
        <w:gridCol w:w="5528"/>
        <w:gridCol w:w="709"/>
        <w:gridCol w:w="2777"/>
      </w:tblGrid>
      <w:tr w:rsidR="008926B8" w:rsidRPr="007465AA" w:rsidTr="00965DCA">
        <w:tc>
          <w:tcPr>
            <w:tcW w:w="1668" w:type="dxa"/>
            <w:shd w:val="clear" w:color="auto" w:fill="008A3E"/>
          </w:tcPr>
          <w:p w:rsidR="008926B8" w:rsidRPr="007465AA" w:rsidRDefault="008926B8" w:rsidP="00965DCA">
            <w:pPr>
              <w:jc w:val="center"/>
              <w:rPr>
                <w:b/>
                <w:color w:val="FFFFFF" w:themeColor="background1"/>
                <w:sz w:val="18"/>
                <w:szCs w:val="18"/>
              </w:rPr>
            </w:pPr>
            <w:r w:rsidRPr="007465AA">
              <w:rPr>
                <w:b/>
                <w:color w:val="FFFFFF" w:themeColor="background1"/>
                <w:sz w:val="18"/>
                <w:szCs w:val="18"/>
              </w:rPr>
              <w:t>Dimensión</w:t>
            </w:r>
          </w:p>
        </w:tc>
        <w:tc>
          <w:tcPr>
            <w:tcW w:w="6237" w:type="dxa"/>
            <w:gridSpan w:val="2"/>
            <w:shd w:val="clear" w:color="auto" w:fill="008A3E"/>
          </w:tcPr>
          <w:p w:rsidR="008926B8" w:rsidRPr="007465AA" w:rsidRDefault="008926B8" w:rsidP="00965DCA">
            <w:pPr>
              <w:jc w:val="center"/>
              <w:rPr>
                <w:b/>
                <w:color w:val="FFFFFF" w:themeColor="background1"/>
                <w:sz w:val="18"/>
                <w:szCs w:val="18"/>
              </w:rPr>
            </w:pPr>
            <w:r w:rsidRPr="007465AA">
              <w:rPr>
                <w:b/>
                <w:color w:val="FFFFFF" w:themeColor="background1"/>
                <w:sz w:val="18"/>
                <w:szCs w:val="18"/>
              </w:rPr>
              <w:t>Recomendado</w:t>
            </w:r>
          </w:p>
        </w:tc>
        <w:tc>
          <w:tcPr>
            <w:tcW w:w="2777" w:type="dxa"/>
            <w:shd w:val="clear" w:color="auto" w:fill="008A3E"/>
          </w:tcPr>
          <w:p w:rsidR="008926B8" w:rsidRPr="007465AA" w:rsidRDefault="008926B8" w:rsidP="00965DCA">
            <w:pPr>
              <w:jc w:val="center"/>
              <w:rPr>
                <w:b/>
                <w:color w:val="FFFFFF" w:themeColor="background1"/>
                <w:sz w:val="18"/>
                <w:szCs w:val="18"/>
              </w:rPr>
            </w:pPr>
            <w:r w:rsidRPr="007465AA">
              <w:rPr>
                <w:b/>
                <w:color w:val="FFFFFF" w:themeColor="background1"/>
                <w:sz w:val="18"/>
                <w:szCs w:val="18"/>
              </w:rPr>
              <w:t>Revisión</w:t>
            </w:r>
          </w:p>
        </w:tc>
      </w:tr>
      <w:tr w:rsidR="008926B8" w:rsidRPr="007465AA" w:rsidTr="00965DCA">
        <w:tc>
          <w:tcPr>
            <w:tcW w:w="1668" w:type="dxa"/>
            <w:vMerge w:val="restart"/>
            <w:vAlign w:val="center"/>
          </w:tcPr>
          <w:p w:rsidR="008926B8" w:rsidRPr="007465AA" w:rsidRDefault="008926B8" w:rsidP="00965DCA">
            <w:pPr>
              <w:rPr>
                <w:sz w:val="18"/>
                <w:szCs w:val="18"/>
              </w:rPr>
            </w:pPr>
            <w:r w:rsidRPr="007465AA">
              <w:rPr>
                <w:sz w:val="18"/>
                <w:szCs w:val="18"/>
              </w:rPr>
              <w:t>Localización y estructuración de la Información</w:t>
            </w:r>
          </w:p>
        </w:tc>
        <w:tc>
          <w:tcPr>
            <w:tcW w:w="5528" w:type="dxa"/>
          </w:tcPr>
          <w:p w:rsidR="008926B8" w:rsidRPr="007465AA" w:rsidRDefault="008926B8" w:rsidP="00965DCA">
            <w:pPr>
              <w:rPr>
                <w:sz w:val="18"/>
                <w:szCs w:val="18"/>
              </w:rPr>
            </w:pPr>
            <w:r w:rsidRPr="007465AA">
              <w:rPr>
                <w:sz w:val="18"/>
                <w:szCs w:val="18"/>
              </w:rPr>
              <w:t>Portal de Transparencia</w:t>
            </w:r>
          </w:p>
        </w:tc>
        <w:tc>
          <w:tcPr>
            <w:tcW w:w="709" w:type="dxa"/>
            <w:vAlign w:val="center"/>
          </w:tcPr>
          <w:p w:rsidR="008926B8" w:rsidRPr="007465AA" w:rsidRDefault="008926B8" w:rsidP="00965DCA">
            <w:pPr>
              <w:jc w:val="center"/>
              <w:rPr>
                <w:sz w:val="18"/>
                <w:szCs w:val="18"/>
              </w:rPr>
            </w:pPr>
          </w:p>
        </w:tc>
        <w:tc>
          <w:tcPr>
            <w:tcW w:w="2777" w:type="dxa"/>
          </w:tcPr>
          <w:p w:rsidR="008926B8" w:rsidRPr="007465AA" w:rsidRDefault="008926B8" w:rsidP="00965DCA">
            <w:pPr>
              <w:rPr>
                <w:sz w:val="18"/>
                <w:szCs w:val="18"/>
              </w:rPr>
            </w:pPr>
          </w:p>
        </w:tc>
      </w:tr>
      <w:tr w:rsidR="008926B8" w:rsidRPr="007465AA" w:rsidTr="00965DCA">
        <w:tc>
          <w:tcPr>
            <w:tcW w:w="1668" w:type="dxa"/>
            <w:vMerge/>
          </w:tcPr>
          <w:p w:rsidR="008926B8" w:rsidRPr="007465AA" w:rsidRDefault="008926B8" w:rsidP="00965DCA">
            <w:pPr>
              <w:rPr>
                <w:sz w:val="18"/>
                <w:szCs w:val="18"/>
              </w:rPr>
            </w:pPr>
          </w:p>
        </w:tc>
        <w:tc>
          <w:tcPr>
            <w:tcW w:w="5528" w:type="dxa"/>
          </w:tcPr>
          <w:p w:rsidR="008926B8" w:rsidRPr="007465AA" w:rsidRDefault="008926B8" w:rsidP="00965DCA">
            <w:pPr>
              <w:rPr>
                <w:sz w:val="18"/>
                <w:szCs w:val="18"/>
              </w:rPr>
            </w:pPr>
            <w:r w:rsidRPr="007465AA">
              <w:rPr>
                <w:sz w:val="18"/>
                <w:szCs w:val="18"/>
              </w:rPr>
              <w:t>Activación de los enlaces contenidos en el Portal de Transparencia</w:t>
            </w:r>
          </w:p>
        </w:tc>
        <w:tc>
          <w:tcPr>
            <w:tcW w:w="709" w:type="dxa"/>
            <w:vAlign w:val="center"/>
          </w:tcPr>
          <w:p w:rsidR="008926B8" w:rsidRPr="007465AA" w:rsidRDefault="008926B8" w:rsidP="00965DCA">
            <w:pPr>
              <w:jc w:val="center"/>
              <w:rPr>
                <w:sz w:val="18"/>
                <w:szCs w:val="18"/>
              </w:rPr>
            </w:pPr>
          </w:p>
        </w:tc>
        <w:tc>
          <w:tcPr>
            <w:tcW w:w="2777" w:type="dxa"/>
          </w:tcPr>
          <w:p w:rsidR="008926B8" w:rsidRPr="007465AA" w:rsidRDefault="008926B8" w:rsidP="00965DCA">
            <w:pPr>
              <w:rPr>
                <w:sz w:val="18"/>
                <w:szCs w:val="18"/>
              </w:rPr>
            </w:pPr>
          </w:p>
        </w:tc>
      </w:tr>
      <w:tr w:rsidR="008926B8" w:rsidRPr="007465AA" w:rsidTr="00965DCA">
        <w:tc>
          <w:tcPr>
            <w:tcW w:w="1668" w:type="dxa"/>
            <w:vMerge/>
          </w:tcPr>
          <w:p w:rsidR="008926B8" w:rsidRPr="007465AA" w:rsidRDefault="008926B8" w:rsidP="00965DCA">
            <w:pPr>
              <w:rPr>
                <w:sz w:val="18"/>
                <w:szCs w:val="18"/>
              </w:rPr>
            </w:pPr>
          </w:p>
        </w:tc>
        <w:tc>
          <w:tcPr>
            <w:tcW w:w="5528" w:type="dxa"/>
          </w:tcPr>
          <w:p w:rsidR="008926B8" w:rsidRPr="007465AA" w:rsidRDefault="008926B8" w:rsidP="00965DCA">
            <w:pPr>
              <w:rPr>
                <w:sz w:val="18"/>
                <w:szCs w:val="18"/>
              </w:rPr>
            </w:pPr>
            <w:r w:rsidRPr="007465AA">
              <w:rPr>
                <w:sz w:val="18"/>
                <w:szCs w:val="18"/>
              </w:rPr>
              <w:t>Estructuración conforme a LTAIBG</w:t>
            </w:r>
          </w:p>
        </w:tc>
        <w:tc>
          <w:tcPr>
            <w:tcW w:w="709" w:type="dxa"/>
            <w:vAlign w:val="center"/>
          </w:tcPr>
          <w:p w:rsidR="008926B8" w:rsidRPr="007465AA" w:rsidRDefault="00AC3A3A" w:rsidP="00965DCA">
            <w:pPr>
              <w:jc w:val="center"/>
              <w:rPr>
                <w:sz w:val="18"/>
                <w:szCs w:val="18"/>
              </w:rPr>
            </w:pPr>
            <w:r>
              <w:rPr>
                <w:sz w:val="18"/>
                <w:szCs w:val="18"/>
              </w:rPr>
              <w:t>X</w:t>
            </w:r>
          </w:p>
        </w:tc>
        <w:tc>
          <w:tcPr>
            <w:tcW w:w="2777" w:type="dxa"/>
          </w:tcPr>
          <w:p w:rsidR="008926B8" w:rsidRPr="007465AA" w:rsidRDefault="00AC3A3A" w:rsidP="008408A7">
            <w:pPr>
              <w:rPr>
                <w:sz w:val="18"/>
                <w:szCs w:val="18"/>
              </w:rPr>
            </w:pPr>
            <w:r>
              <w:rPr>
                <w:sz w:val="18"/>
                <w:szCs w:val="18"/>
              </w:rPr>
              <w:t xml:space="preserve">No, la información de relevancia jurídica </w:t>
            </w:r>
            <w:r w:rsidR="008408A7">
              <w:rPr>
                <w:sz w:val="18"/>
                <w:szCs w:val="18"/>
              </w:rPr>
              <w:t>sigue sin ajustarse</w:t>
            </w:r>
            <w:r>
              <w:rPr>
                <w:sz w:val="18"/>
                <w:szCs w:val="18"/>
              </w:rPr>
              <w:t xml:space="preserve"> a la estructura que establece la LTAIBG</w:t>
            </w:r>
          </w:p>
        </w:tc>
      </w:tr>
      <w:tr w:rsidR="00B92CB7" w:rsidRPr="007465AA" w:rsidTr="00965DCA">
        <w:tc>
          <w:tcPr>
            <w:tcW w:w="1668" w:type="dxa"/>
            <w:vMerge/>
          </w:tcPr>
          <w:p w:rsidR="00B92CB7" w:rsidRPr="007465AA" w:rsidRDefault="00B92CB7" w:rsidP="00965DCA">
            <w:pPr>
              <w:rPr>
                <w:sz w:val="18"/>
                <w:szCs w:val="18"/>
              </w:rPr>
            </w:pPr>
          </w:p>
        </w:tc>
        <w:tc>
          <w:tcPr>
            <w:tcW w:w="5528" w:type="dxa"/>
          </w:tcPr>
          <w:p w:rsidR="00B92CB7" w:rsidRPr="007465AA" w:rsidRDefault="00B92CB7" w:rsidP="00965DCA">
            <w:pPr>
              <w:rPr>
                <w:sz w:val="18"/>
                <w:szCs w:val="18"/>
              </w:rPr>
            </w:pPr>
            <w:r>
              <w:rPr>
                <w:sz w:val="18"/>
                <w:szCs w:val="18"/>
              </w:rPr>
              <w:t>Revisar el criterio de publicación de informaciones correspondientes a organismos dependientes</w:t>
            </w:r>
          </w:p>
        </w:tc>
        <w:tc>
          <w:tcPr>
            <w:tcW w:w="709" w:type="dxa"/>
            <w:vAlign w:val="center"/>
          </w:tcPr>
          <w:p w:rsidR="00B92CB7" w:rsidRPr="007465AA" w:rsidRDefault="00B92CB7" w:rsidP="00965DCA">
            <w:pPr>
              <w:jc w:val="center"/>
              <w:rPr>
                <w:sz w:val="18"/>
                <w:szCs w:val="18"/>
              </w:rPr>
            </w:pPr>
            <w:r>
              <w:rPr>
                <w:sz w:val="18"/>
                <w:szCs w:val="18"/>
              </w:rPr>
              <w:t>X</w:t>
            </w:r>
          </w:p>
        </w:tc>
        <w:tc>
          <w:tcPr>
            <w:tcW w:w="2777" w:type="dxa"/>
          </w:tcPr>
          <w:p w:rsidR="00B92CB7" w:rsidRPr="007465AA" w:rsidRDefault="00B92CB7" w:rsidP="00C356CF">
            <w:pPr>
              <w:rPr>
                <w:sz w:val="18"/>
                <w:szCs w:val="18"/>
              </w:rPr>
            </w:pPr>
            <w:r>
              <w:rPr>
                <w:sz w:val="18"/>
                <w:szCs w:val="18"/>
              </w:rPr>
              <w:t>Parcialmente, sigue publicándose esta información</w:t>
            </w:r>
            <w:r w:rsidR="00C356CF">
              <w:rPr>
                <w:sz w:val="18"/>
                <w:szCs w:val="18"/>
              </w:rPr>
              <w:t>.</w:t>
            </w:r>
            <w:r>
              <w:rPr>
                <w:sz w:val="18"/>
                <w:szCs w:val="18"/>
              </w:rPr>
              <w:t xml:space="preserve"> </w:t>
            </w:r>
          </w:p>
        </w:tc>
      </w:tr>
      <w:tr w:rsidR="008926B8" w:rsidRPr="007465AA" w:rsidTr="00965DCA">
        <w:tc>
          <w:tcPr>
            <w:tcW w:w="1668" w:type="dxa"/>
            <w:vMerge/>
          </w:tcPr>
          <w:p w:rsidR="008926B8" w:rsidRPr="007465AA" w:rsidRDefault="008926B8" w:rsidP="00965DCA">
            <w:pPr>
              <w:rPr>
                <w:sz w:val="18"/>
                <w:szCs w:val="18"/>
              </w:rPr>
            </w:pPr>
          </w:p>
        </w:tc>
        <w:tc>
          <w:tcPr>
            <w:tcW w:w="5528" w:type="dxa"/>
          </w:tcPr>
          <w:p w:rsidR="008926B8" w:rsidRPr="007465AA" w:rsidRDefault="008926B8" w:rsidP="00965DCA">
            <w:pPr>
              <w:rPr>
                <w:sz w:val="18"/>
                <w:szCs w:val="18"/>
              </w:rPr>
            </w:pPr>
            <w:r w:rsidRPr="007465AA">
              <w:rPr>
                <w:sz w:val="18"/>
                <w:szCs w:val="18"/>
              </w:rPr>
              <w:t>Publicación de toda la información sujeta a obligaciones de publicidad activa en el Portal de Transparencia</w:t>
            </w:r>
          </w:p>
        </w:tc>
        <w:tc>
          <w:tcPr>
            <w:tcW w:w="709" w:type="dxa"/>
            <w:vAlign w:val="center"/>
          </w:tcPr>
          <w:p w:rsidR="008926B8" w:rsidRPr="007465AA" w:rsidRDefault="008926B8" w:rsidP="00965DCA">
            <w:pPr>
              <w:jc w:val="center"/>
              <w:rPr>
                <w:sz w:val="18"/>
                <w:szCs w:val="18"/>
              </w:rPr>
            </w:pPr>
          </w:p>
        </w:tc>
        <w:tc>
          <w:tcPr>
            <w:tcW w:w="2777" w:type="dxa"/>
          </w:tcPr>
          <w:p w:rsidR="008926B8" w:rsidRPr="007465AA" w:rsidRDefault="008926B8" w:rsidP="00965DCA">
            <w:pPr>
              <w:rPr>
                <w:sz w:val="18"/>
                <w:szCs w:val="18"/>
              </w:rPr>
            </w:pPr>
          </w:p>
        </w:tc>
      </w:tr>
      <w:tr w:rsidR="008926B8" w:rsidRPr="007465AA" w:rsidTr="00965DCA">
        <w:tc>
          <w:tcPr>
            <w:tcW w:w="7196" w:type="dxa"/>
            <w:gridSpan w:val="2"/>
          </w:tcPr>
          <w:p w:rsidR="008926B8" w:rsidRPr="007465AA" w:rsidRDefault="008926B8" w:rsidP="00965DCA">
            <w:pPr>
              <w:jc w:val="right"/>
              <w:rPr>
                <w:b/>
                <w:sz w:val="18"/>
                <w:szCs w:val="18"/>
              </w:rPr>
            </w:pPr>
            <w:r w:rsidRPr="007465AA">
              <w:rPr>
                <w:b/>
                <w:sz w:val="18"/>
                <w:szCs w:val="18"/>
              </w:rPr>
              <w:t>Total Recomendaciones</w:t>
            </w:r>
          </w:p>
        </w:tc>
        <w:tc>
          <w:tcPr>
            <w:tcW w:w="709" w:type="dxa"/>
            <w:vAlign w:val="center"/>
          </w:tcPr>
          <w:p w:rsidR="008926B8" w:rsidRPr="007465AA" w:rsidRDefault="00C356CF" w:rsidP="00965DCA">
            <w:pPr>
              <w:jc w:val="center"/>
              <w:rPr>
                <w:b/>
                <w:sz w:val="18"/>
                <w:szCs w:val="18"/>
              </w:rPr>
            </w:pPr>
            <w:r>
              <w:rPr>
                <w:b/>
                <w:sz w:val="18"/>
                <w:szCs w:val="18"/>
              </w:rPr>
              <w:t>2</w:t>
            </w:r>
          </w:p>
        </w:tc>
        <w:tc>
          <w:tcPr>
            <w:tcW w:w="2777" w:type="dxa"/>
          </w:tcPr>
          <w:p w:rsidR="008926B8" w:rsidRPr="007465AA" w:rsidRDefault="008926B8" w:rsidP="00965DCA">
            <w:pPr>
              <w:rPr>
                <w:b/>
                <w:sz w:val="18"/>
                <w:szCs w:val="18"/>
              </w:rPr>
            </w:pPr>
          </w:p>
        </w:tc>
      </w:tr>
    </w:tbl>
    <w:p w:rsidR="00F14DA4" w:rsidRDefault="00F14DA4" w:rsidP="00E36CE0">
      <w:pPr>
        <w:spacing w:before="120" w:after="120" w:line="312" w:lineRule="auto"/>
        <w:jc w:val="both"/>
      </w:pPr>
    </w:p>
    <w:p w:rsidR="008926B8" w:rsidRDefault="008926B8" w:rsidP="008926B8">
      <w:pPr>
        <w:pStyle w:val="Ttulo2"/>
      </w:pPr>
      <w:r>
        <w:t>I.2 Publicación de contenidos</w:t>
      </w:r>
    </w:p>
    <w:p w:rsidR="008926B8" w:rsidRDefault="008926B8" w:rsidP="00E36CE0">
      <w:pPr>
        <w:spacing w:before="120" w:after="120" w:line="312" w:lineRule="auto"/>
        <w:jc w:val="both"/>
      </w:pPr>
    </w:p>
    <w:tbl>
      <w:tblPr>
        <w:tblStyle w:val="Tablaconcuadrcula"/>
        <w:tblW w:w="0" w:type="auto"/>
        <w:tblLayout w:type="fixed"/>
        <w:tblLook w:val="04A0" w:firstRow="1" w:lastRow="0" w:firstColumn="1" w:lastColumn="0" w:noHBand="0" w:noVBand="1"/>
      </w:tblPr>
      <w:tblGrid>
        <w:gridCol w:w="3227"/>
        <w:gridCol w:w="1559"/>
        <w:gridCol w:w="5812"/>
      </w:tblGrid>
      <w:tr w:rsidR="00AC3A3A" w:rsidRPr="00CA6EF0" w:rsidTr="00071029">
        <w:tc>
          <w:tcPr>
            <w:tcW w:w="3227" w:type="dxa"/>
            <w:tcBorders>
              <w:top w:val="nil"/>
              <w:left w:val="single" w:sz="4" w:space="0" w:color="000000" w:themeColor="text1"/>
              <w:bottom w:val="single" w:sz="4" w:space="0" w:color="000000" w:themeColor="text1"/>
              <w:right w:val="single" w:sz="4" w:space="0" w:color="FFFFFF" w:themeColor="background1"/>
            </w:tcBorders>
            <w:shd w:val="clear" w:color="auto" w:fill="4D7F52"/>
          </w:tcPr>
          <w:p w:rsidR="00AC3A3A" w:rsidRPr="00CA6EF0" w:rsidRDefault="00AC3A3A" w:rsidP="00965DCA">
            <w:pPr>
              <w:spacing w:line="312" w:lineRule="auto"/>
              <w:jc w:val="both"/>
              <w:rPr>
                <w:b/>
                <w:color w:val="FFFFFF" w:themeColor="background1"/>
                <w:sz w:val="18"/>
                <w:szCs w:val="18"/>
              </w:rPr>
            </w:pPr>
            <w:r>
              <w:rPr>
                <w:b/>
                <w:color w:val="FFFFFF" w:themeColor="background1"/>
                <w:sz w:val="18"/>
                <w:szCs w:val="18"/>
              </w:rPr>
              <w:t>Contenidos</w:t>
            </w:r>
          </w:p>
        </w:tc>
        <w:tc>
          <w:tcPr>
            <w:tcW w:w="1559" w:type="dxa"/>
            <w:tcBorders>
              <w:top w:val="nil"/>
              <w:left w:val="single" w:sz="4" w:space="0" w:color="FFFFFF" w:themeColor="background1"/>
              <w:bottom w:val="single" w:sz="4" w:space="0" w:color="000000" w:themeColor="text1"/>
              <w:right w:val="single" w:sz="4" w:space="0" w:color="FFFFFF" w:themeColor="background1"/>
            </w:tcBorders>
            <w:shd w:val="clear" w:color="auto" w:fill="4D7F52"/>
          </w:tcPr>
          <w:p w:rsidR="00AC3A3A" w:rsidRPr="00CA6EF0" w:rsidRDefault="00AC3A3A" w:rsidP="00965DCA">
            <w:pPr>
              <w:spacing w:line="312" w:lineRule="auto"/>
              <w:jc w:val="both"/>
              <w:rPr>
                <w:b/>
                <w:color w:val="FFFFFF" w:themeColor="background1"/>
                <w:sz w:val="18"/>
                <w:szCs w:val="18"/>
              </w:rPr>
            </w:pPr>
            <w:r>
              <w:rPr>
                <w:b/>
                <w:color w:val="FFFFFF" w:themeColor="background1"/>
                <w:sz w:val="18"/>
                <w:szCs w:val="18"/>
              </w:rPr>
              <w:t>Aplicada</w:t>
            </w:r>
          </w:p>
        </w:tc>
        <w:tc>
          <w:tcPr>
            <w:tcW w:w="5812" w:type="dxa"/>
            <w:tcBorders>
              <w:top w:val="nil"/>
              <w:left w:val="single" w:sz="4" w:space="0" w:color="FFFFFF" w:themeColor="background1"/>
              <w:bottom w:val="single" w:sz="4" w:space="0" w:color="000000" w:themeColor="text1"/>
              <w:right w:val="nil"/>
            </w:tcBorders>
            <w:shd w:val="clear" w:color="auto" w:fill="4D7F52"/>
          </w:tcPr>
          <w:p w:rsidR="00AC3A3A" w:rsidRPr="00CA6EF0" w:rsidRDefault="00AC3A3A" w:rsidP="008926B8">
            <w:pPr>
              <w:spacing w:line="312" w:lineRule="auto"/>
              <w:jc w:val="center"/>
              <w:rPr>
                <w:b/>
                <w:color w:val="FFFFFF" w:themeColor="background1"/>
                <w:sz w:val="18"/>
                <w:szCs w:val="18"/>
              </w:rPr>
            </w:pPr>
            <w:r w:rsidRPr="00CA6EF0">
              <w:rPr>
                <w:b/>
                <w:color w:val="FFFFFF" w:themeColor="background1"/>
                <w:sz w:val="18"/>
                <w:szCs w:val="18"/>
              </w:rPr>
              <w:t>Revisión</w:t>
            </w:r>
          </w:p>
        </w:tc>
      </w:tr>
      <w:tr w:rsidR="00AC3A3A" w:rsidRPr="00CA6EF0" w:rsidTr="00071029">
        <w:tc>
          <w:tcPr>
            <w:tcW w:w="3227" w:type="dxa"/>
            <w:tcBorders>
              <w:left w:val="single" w:sz="4" w:space="0" w:color="000000" w:themeColor="text1"/>
              <w:bottom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t>Registro de Actividades de Tratamiento</w:t>
            </w:r>
          </w:p>
        </w:tc>
        <w:tc>
          <w:tcPr>
            <w:tcW w:w="1559" w:type="dxa"/>
          </w:tcPr>
          <w:p w:rsidR="00AC3A3A" w:rsidRPr="00CA6EF0" w:rsidRDefault="00AC3A3A" w:rsidP="00965DCA">
            <w:pPr>
              <w:spacing w:line="312" w:lineRule="auto"/>
              <w:jc w:val="both"/>
              <w:rPr>
                <w:sz w:val="18"/>
                <w:szCs w:val="18"/>
              </w:rPr>
            </w:pPr>
            <w:r w:rsidRPr="00CA6EF0">
              <w:rPr>
                <w:sz w:val="18"/>
                <w:szCs w:val="18"/>
              </w:rPr>
              <w:t>Si</w:t>
            </w:r>
          </w:p>
        </w:tc>
        <w:tc>
          <w:tcPr>
            <w:tcW w:w="5812" w:type="dxa"/>
          </w:tcPr>
          <w:p w:rsidR="00AC3A3A" w:rsidRDefault="00AC3A3A" w:rsidP="0004057A">
            <w:pPr>
              <w:spacing w:line="312" w:lineRule="auto"/>
              <w:jc w:val="both"/>
              <w:rPr>
                <w:rStyle w:val="Ttulo2Car"/>
                <w:b w:val="0"/>
                <w:color w:val="auto"/>
                <w:sz w:val="18"/>
                <w:szCs w:val="18"/>
                <w:lang w:bidi="es-ES"/>
              </w:rPr>
            </w:pPr>
            <w:r w:rsidRPr="00CA6EF0">
              <w:rPr>
                <w:sz w:val="18"/>
                <w:szCs w:val="18"/>
              </w:rPr>
              <w:t xml:space="preserve">Se ha publicado un enlace al RAT del Ministerio de </w:t>
            </w:r>
            <w:r w:rsidRPr="00CA6EF0">
              <w:rPr>
                <w:rStyle w:val="Ttulo2Car"/>
                <w:b w:val="0"/>
                <w:color w:val="auto"/>
                <w:sz w:val="18"/>
                <w:szCs w:val="18"/>
                <w:lang w:bidi="es-ES"/>
              </w:rPr>
              <w:t>Asuntos Exteriores, Unión Europea y Cooperación pero la publicación no incluye el registro de cada una de las actividades de Tratamiento del Ministerio.</w:t>
            </w:r>
            <w:r>
              <w:rPr>
                <w:rStyle w:val="Ttulo2Car"/>
                <w:b w:val="0"/>
                <w:color w:val="auto"/>
                <w:sz w:val="18"/>
                <w:szCs w:val="18"/>
                <w:lang w:bidi="es-ES"/>
              </w:rPr>
              <w:t xml:space="preserve"> No se ajusta por lo tanto, a los requerimientos de la Ley 3/2018 </w:t>
            </w:r>
            <w:r w:rsidRPr="0004057A">
              <w:rPr>
                <w:rStyle w:val="Ttulo2Car"/>
                <w:b w:val="0"/>
                <w:color w:val="auto"/>
                <w:sz w:val="18"/>
                <w:szCs w:val="18"/>
                <w:lang w:bidi="es-ES"/>
              </w:rPr>
              <w:t>de Protección de Datos</w:t>
            </w:r>
            <w:r>
              <w:rPr>
                <w:rStyle w:val="Ttulo2Car"/>
                <w:b w:val="0"/>
                <w:color w:val="auto"/>
                <w:sz w:val="18"/>
                <w:szCs w:val="18"/>
                <w:lang w:bidi="es-ES"/>
              </w:rPr>
              <w:t xml:space="preserve"> </w:t>
            </w:r>
            <w:r w:rsidRPr="0004057A">
              <w:rPr>
                <w:rStyle w:val="Ttulo2Car"/>
                <w:b w:val="0"/>
                <w:color w:val="auto"/>
                <w:sz w:val="18"/>
                <w:szCs w:val="18"/>
                <w:lang w:bidi="es-ES"/>
              </w:rPr>
              <w:t>Personales y garantía de los derechos digitales</w:t>
            </w:r>
          </w:p>
          <w:p w:rsidR="00AC3A3A" w:rsidRPr="00CA6EF0" w:rsidRDefault="00AC3A3A" w:rsidP="00965DCA">
            <w:pPr>
              <w:spacing w:line="312" w:lineRule="auto"/>
              <w:jc w:val="both"/>
              <w:rPr>
                <w:rStyle w:val="Ttulo2Car"/>
                <w:b w:val="0"/>
                <w:color w:val="auto"/>
                <w:sz w:val="18"/>
                <w:szCs w:val="18"/>
                <w:lang w:bidi="es-ES"/>
              </w:rPr>
            </w:pPr>
          </w:p>
          <w:p w:rsidR="00AC3A3A" w:rsidRPr="00CA6EF0" w:rsidRDefault="00AC3A3A" w:rsidP="00965DCA">
            <w:pPr>
              <w:spacing w:line="312" w:lineRule="auto"/>
              <w:jc w:val="both"/>
              <w:rPr>
                <w:sz w:val="18"/>
                <w:szCs w:val="18"/>
              </w:rPr>
            </w:pPr>
            <w:r w:rsidRPr="00CA6EF0">
              <w:rPr>
                <w:rStyle w:val="Ttulo2Car"/>
                <w:b w:val="0"/>
                <w:color w:val="auto"/>
                <w:sz w:val="18"/>
                <w:szCs w:val="18"/>
                <w:lang w:bidi="es-ES"/>
              </w:rPr>
              <w:t>Si se publican los RAT de los Ministerios de Consumo y Derechos Sociales y Agenda 2030. La información está actualizada a marzo de 2020. Sigue manteniéndose la heterogeneidad en la forma de presentación de la información.</w:t>
            </w:r>
          </w:p>
        </w:tc>
      </w:tr>
      <w:tr w:rsidR="00AC3A3A" w:rsidRPr="00CA6EF0" w:rsidTr="00071029">
        <w:tc>
          <w:tcPr>
            <w:tcW w:w="3227" w:type="dxa"/>
            <w:tcBorders>
              <w:left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lastRenderedPageBreak/>
              <w:t>Descripción estructura organizativa</w:t>
            </w:r>
          </w:p>
        </w:tc>
        <w:tc>
          <w:tcPr>
            <w:tcW w:w="1559" w:type="dxa"/>
          </w:tcPr>
          <w:p w:rsidR="00AC3A3A" w:rsidRPr="00CA6EF0" w:rsidRDefault="00AC3A3A" w:rsidP="00965DCA">
            <w:pPr>
              <w:spacing w:line="312" w:lineRule="auto"/>
              <w:jc w:val="both"/>
              <w:rPr>
                <w:sz w:val="18"/>
                <w:szCs w:val="18"/>
              </w:rPr>
            </w:pPr>
            <w:r w:rsidRPr="00CA6EF0">
              <w:rPr>
                <w:sz w:val="18"/>
                <w:szCs w:val="18"/>
              </w:rPr>
              <w:t>Si</w:t>
            </w:r>
          </w:p>
        </w:tc>
        <w:tc>
          <w:tcPr>
            <w:tcW w:w="5812" w:type="dxa"/>
          </w:tcPr>
          <w:p w:rsidR="00AC3A3A" w:rsidRPr="00CA6EF0" w:rsidRDefault="00AC3A3A" w:rsidP="00965DCA">
            <w:pPr>
              <w:spacing w:line="312" w:lineRule="auto"/>
              <w:jc w:val="both"/>
              <w:rPr>
                <w:sz w:val="18"/>
                <w:szCs w:val="18"/>
              </w:rPr>
            </w:pPr>
            <w:r w:rsidRPr="00CA6EF0">
              <w:rPr>
                <w:sz w:val="18"/>
                <w:szCs w:val="18"/>
              </w:rPr>
              <w:t>Se incluye información sobre Delegaciones y Subdelegaciones del Gobierno. También sobre Embajadas y Consulados.</w:t>
            </w:r>
          </w:p>
        </w:tc>
      </w:tr>
      <w:tr w:rsidR="00AC3A3A" w:rsidRPr="00CA6EF0" w:rsidTr="00071029">
        <w:tc>
          <w:tcPr>
            <w:tcW w:w="3227" w:type="dxa"/>
            <w:tcBorders>
              <w:left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t>Identificación Responsables</w:t>
            </w:r>
          </w:p>
        </w:tc>
        <w:tc>
          <w:tcPr>
            <w:tcW w:w="1559" w:type="dxa"/>
          </w:tcPr>
          <w:p w:rsidR="00AC3A3A" w:rsidRPr="00CA6EF0" w:rsidRDefault="002A509A" w:rsidP="00965DCA">
            <w:pPr>
              <w:spacing w:line="312" w:lineRule="auto"/>
              <w:jc w:val="both"/>
              <w:rPr>
                <w:sz w:val="18"/>
                <w:szCs w:val="18"/>
              </w:rPr>
            </w:pPr>
            <w:r>
              <w:rPr>
                <w:sz w:val="18"/>
                <w:szCs w:val="18"/>
              </w:rPr>
              <w:t>Si</w:t>
            </w:r>
          </w:p>
        </w:tc>
        <w:tc>
          <w:tcPr>
            <w:tcW w:w="5812" w:type="dxa"/>
          </w:tcPr>
          <w:p w:rsidR="00AC3A3A" w:rsidRPr="00CA6EF0" w:rsidRDefault="00AC3A3A" w:rsidP="00B868EA">
            <w:pPr>
              <w:spacing w:line="312" w:lineRule="auto"/>
              <w:jc w:val="both"/>
              <w:rPr>
                <w:sz w:val="18"/>
                <w:szCs w:val="18"/>
              </w:rPr>
            </w:pPr>
            <w:r w:rsidRPr="00CA6EF0">
              <w:rPr>
                <w:sz w:val="18"/>
                <w:szCs w:val="18"/>
              </w:rPr>
              <w:t xml:space="preserve">Se incluye la identificación de los titulares de Embajadas y de las Delegaciones del Gobierno. No se incluye información sobre los titulares de Subdelegaciones  </w:t>
            </w:r>
            <w:r w:rsidR="008408A7">
              <w:rPr>
                <w:sz w:val="18"/>
                <w:szCs w:val="18"/>
              </w:rPr>
              <w:t>del Gobierno</w:t>
            </w:r>
          </w:p>
        </w:tc>
      </w:tr>
      <w:tr w:rsidR="00AC3A3A" w:rsidRPr="00CA6EF0" w:rsidTr="00071029">
        <w:tc>
          <w:tcPr>
            <w:tcW w:w="3227" w:type="dxa"/>
            <w:tcBorders>
              <w:left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t>Perfil y trayectoria profesional responsables</w:t>
            </w:r>
          </w:p>
        </w:tc>
        <w:tc>
          <w:tcPr>
            <w:tcW w:w="1559" w:type="dxa"/>
          </w:tcPr>
          <w:p w:rsidR="00AC3A3A" w:rsidRPr="00CA6EF0" w:rsidRDefault="002A509A" w:rsidP="006A6513">
            <w:pPr>
              <w:rPr>
                <w:sz w:val="18"/>
                <w:szCs w:val="18"/>
              </w:rPr>
            </w:pPr>
            <w:r>
              <w:rPr>
                <w:sz w:val="18"/>
                <w:szCs w:val="18"/>
              </w:rPr>
              <w:t>Si</w:t>
            </w:r>
          </w:p>
        </w:tc>
        <w:tc>
          <w:tcPr>
            <w:tcW w:w="5812" w:type="dxa"/>
          </w:tcPr>
          <w:p w:rsidR="00AC3A3A" w:rsidRPr="00CA6EF0" w:rsidRDefault="00AC3A3A" w:rsidP="006A6513">
            <w:pPr>
              <w:rPr>
                <w:sz w:val="18"/>
                <w:szCs w:val="18"/>
              </w:rPr>
            </w:pPr>
            <w:r w:rsidRPr="00CA6EF0">
              <w:rPr>
                <w:sz w:val="18"/>
                <w:szCs w:val="18"/>
              </w:rPr>
              <w:t xml:space="preserve">Se incluye la identificación de los titulares de Embajadas y de las Delegaciones del Gobierno. No se incluye información sobre los titulares de Subdelegaciones  </w:t>
            </w:r>
            <w:r w:rsidR="008408A7">
              <w:rPr>
                <w:sz w:val="18"/>
                <w:szCs w:val="18"/>
              </w:rPr>
              <w:t>del Gobierno</w:t>
            </w:r>
          </w:p>
        </w:tc>
      </w:tr>
      <w:tr w:rsidR="00AC3A3A" w:rsidRPr="00CA6EF0" w:rsidTr="00071029">
        <w:tc>
          <w:tcPr>
            <w:tcW w:w="3227" w:type="dxa"/>
            <w:tcBorders>
              <w:left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t xml:space="preserve">Planes y Programas </w:t>
            </w:r>
          </w:p>
        </w:tc>
        <w:tc>
          <w:tcPr>
            <w:tcW w:w="1559" w:type="dxa"/>
          </w:tcPr>
          <w:p w:rsidR="00AC3A3A" w:rsidRPr="0004057A" w:rsidRDefault="00AC3A3A" w:rsidP="00965DCA">
            <w:pPr>
              <w:spacing w:line="312" w:lineRule="auto"/>
              <w:jc w:val="both"/>
              <w:rPr>
                <w:sz w:val="18"/>
                <w:szCs w:val="18"/>
              </w:rPr>
            </w:pPr>
            <w:r w:rsidRPr="0004057A">
              <w:rPr>
                <w:sz w:val="18"/>
                <w:szCs w:val="18"/>
              </w:rPr>
              <w:t>No</w:t>
            </w:r>
          </w:p>
        </w:tc>
        <w:tc>
          <w:tcPr>
            <w:tcW w:w="5812" w:type="dxa"/>
          </w:tcPr>
          <w:p w:rsidR="00AC3A3A" w:rsidRDefault="00AC3A3A" w:rsidP="00965DCA">
            <w:pPr>
              <w:spacing w:line="312" w:lineRule="auto"/>
              <w:jc w:val="both"/>
              <w:rPr>
                <w:sz w:val="18"/>
                <w:szCs w:val="18"/>
              </w:rPr>
            </w:pPr>
            <w:r w:rsidRPr="00CA6EF0">
              <w:rPr>
                <w:sz w:val="18"/>
                <w:szCs w:val="18"/>
              </w:rPr>
              <w:t>Sigue sin publicarse información de los Ministerios: Asuntos Económicos y Transformación Digital, Defensa, Derechos Sociales y Agenda 2030 y Justicia.</w:t>
            </w:r>
          </w:p>
          <w:p w:rsidR="00AC3A3A" w:rsidRDefault="00AC3A3A" w:rsidP="00965DCA">
            <w:pPr>
              <w:spacing w:line="312" w:lineRule="auto"/>
              <w:jc w:val="both"/>
              <w:rPr>
                <w:sz w:val="18"/>
                <w:szCs w:val="18"/>
              </w:rPr>
            </w:pPr>
          </w:p>
          <w:p w:rsidR="00AC3A3A" w:rsidRDefault="00AC3A3A" w:rsidP="00965DCA">
            <w:pPr>
              <w:spacing w:line="312" w:lineRule="auto"/>
              <w:jc w:val="both"/>
              <w:rPr>
                <w:sz w:val="18"/>
                <w:szCs w:val="18"/>
              </w:rPr>
            </w:pPr>
            <w:r>
              <w:rPr>
                <w:sz w:val="18"/>
                <w:szCs w:val="18"/>
              </w:rPr>
              <w:t xml:space="preserve">Además, los Ministerios de Industria, Comercio y Turismo, del Interior y de Sanidad solo publican un Plan que en la actualidad no está vigente. </w:t>
            </w:r>
          </w:p>
          <w:p w:rsidR="00AC3A3A" w:rsidRDefault="00AC3A3A" w:rsidP="007E4B4F">
            <w:pPr>
              <w:tabs>
                <w:tab w:val="left" w:pos="4065"/>
              </w:tabs>
              <w:spacing w:line="312" w:lineRule="auto"/>
              <w:jc w:val="both"/>
              <w:rPr>
                <w:sz w:val="18"/>
                <w:szCs w:val="18"/>
              </w:rPr>
            </w:pPr>
            <w:r>
              <w:rPr>
                <w:sz w:val="18"/>
                <w:szCs w:val="18"/>
              </w:rPr>
              <w:tab/>
            </w:r>
          </w:p>
          <w:p w:rsidR="00AC3A3A" w:rsidRDefault="00AC3A3A" w:rsidP="00965DCA">
            <w:pPr>
              <w:spacing w:line="312" w:lineRule="auto"/>
              <w:jc w:val="both"/>
              <w:rPr>
                <w:sz w:val="18"/>
                <w:szCs w:val="18"/>
              </w:rPr>
            </w:pPr>
            <w:r w:rsidRPr="0004057A">
              <w:rPr>
                <w:sz w:val="18"/>
                <w:szCs w:val="18"/>
              </w:rPr>
              <w:t xml:space="preserve">De los 113 registros publicados, 70 </w:t>
            </w:r>
            <w:r>
              <w:rPr>
                <w:sz w:val="18"/>
                <w:szCs w:val="18"/>
              </w:rPr>
              <w:t>hacen referencia a Planes y Programas no vigentes</w:t>
            </w:r>
            <w:r w:rsidRPr="0004057A">
              <w:rPr>
                <w:sz w:val="18"/>
                <w:szCs w:val="18"/>
              </w:rPr>
              <w:t>.</w:t>
            </w:r>
          </w:p>
          <w:p w:rsidR="00AC3A3A" w:rsidRPr="00CA6EF0" w:rsidRDefault="00AC3A3A" w:rsidP="00965DCA">
            <w:pPr>
              <w:spacing w:line="312" w:lineRule="auto"/>
              <w:jc w:val="both"/>
              <w:rPr>
                <w:sz w:val="18"/>
                <w:szCs w:val="18"/>
              </w:rPr>
            </w:pPr>
            <w:r>
              <w:rPr>
                <w:sz w:val="18"/>
                <w:szCs w:val="18"/>
              </w:rPr>
              <w:t xml:space="preserve"> </w:t>
            </w:r>
          </w:p>
          <w:p w:rsidR="00AC3A3A" w:rsidRDefault="00AC3A3A" w:rsidP="005365E8">
            <w:pPr>
              <w:spacing w:line="312" w:lineRule="auto"/>
              <w:jc w:val="both"/>
              <w:rPr>
                <w:sz w:val="18"/>
                <w:szCs w:val="18"/>
              </w:rPr>
            </w:pPr>
            <w:r>
              <w:rPr>
                <w:sz w:val="18"/>
                <w:szCs w:val="18"/>
              </w:rPr>
              <w:t>No ha sido posible acceder a la información de</w:t>
            </w:r>
            <w:r w:rsidR="008408A7">
              <w:rPr>
                <w:sz w:val="18"/>
                <w:szCs w:val="18"/>
              </w:rPr>
              <w:t xml:space="preserve"> </w:t>
            </w:r>
            <w:r>
              <w:rPr>
                <w:sz w:val="18"/>
                <w:szCs w:val="18"/>
              </w:rPr>
              <w:t>10 d</w:t>
            </w:r>
            <w:r w:rsidRPr="0004057A">
              <w:rPr>
                <w:sz w:val="18"/>
                <w:szCs w:val="18"/>
              </w:rPr>
              <w:t xml:space="preserve">e los 43 </w:t>
            </w:r>
            <w:r>
              <w:rPr>
                <w:sz w:val="18"/>
                <w:szCs w:val="18"/>
              </w:rPr>
              <w:t xml:space="preserve">planes que mantienen su vigencia porque </w:t>
            </w:r>
            <w:r w:rsidR="009D5B5F">
              <w:rPr>
                <w:sz w:val="18"/>
                <w:szCs w:val="18"/>
              </w:rPr>
              <w:t>l</w:t>
            </w:r>
            <w:r>
              <w:rPr>
                <w:sz w:val="18"/>
                <w:szCs w:val="18"/>
              </w:rPr>
              <w:t>os enlaces a la información estaban rotos.</w:t>
            </w:r>
          </w:p>
          <w:p w:rsidR="00AC3A3A" w:rsidRDefault="00AC3A3A" w:rsidP="005365E8">
            <w:pPr>
              <w:spacing w:line="312" w:lineRule="auto"/>
              <w:jc w:val="both"/>
              <w:rPr>
                <w:sz w:val="18"/>
                <w:szCs w:val="18"/>
              </w:rPr>
            </w:pPr>
          </w:p>
          <w:p w:rsidR="00AC3A3A" w:rsidRDefault="00AC3A3A" w:rsidP="005365E8">
            <w:pPr>
              <w:spacing w:line="312" w:lineRule="auto"/>
              <w:jc w:val="both"/>
              <w:rPr>
                <w:sz w:val="18"/>
                <w:szCs w:val="18"/>
              </w:rPr>
            </w:pPr>
            <w:r>
              <w:rPr>
                <w:sz w:val="18"/>
                <w:szCs w:val="18"/>
              </w:rPr>
              <w:t>Por lo tanto el número de planes vigentes que se pueden consultar son 33, un 29,2% del total de planes o programas publicados.</w:t>
            </w:r>
          </w:p>
          <w:p w:rsidR="009D5B5F" w:rsidRDefault="009D5B5F" w:rsidP="005365E8">
            <w:pPr>
              <w:spacing w:line="312" w:lineRule="auto"/>
              <w:jc w:val="both"/>
              <w:rPr>
                <w:sz w:val="18"/>
                <w:szCs w:val="18"/>
              </w:rPr>
            </w:pPr>
          </w:p>
          <w:p w:rsidR="00AC3A3A" w:rsidRPr="0004057A" w:rsidRDefault="00AC3A3A" w:rsidP="005365E8">
            <w:pPr>
              <w:spacing w:line="312" w:lineRule="auto"/>
              <w:jc w:val="both"/>
              <w:rPr>
                <w:sz w:val="18"/>
                <w:szCs w:val="18"/>
              </w:rPr>
            </w:pPr>
            <w:r>
              <w:rPr>
                <w:sz w:val="18"/>
                <w:szCs w:val="18"/>
              </w:rPr>
              <w:t xml:space="preserve">De estos 33 planes, 10 contienen toda la información obligatoria (identificación del Plan, actividades previstas para la consecución de los objetivos, medios previstos y cronograma), 10 se publican sin uno de estos contenidos obligatorios, 11 sin dos de ellos y finalmente, 2 no contienen 3 de los 4 datos obligatorios que establece la LTAIBG. </w:t>
            </w:r>
          </w:p>
          <w:p w:rsidR="00AC3A3A" w:rsidRDefault="00AC3A3A" w:rsidP="005365E8">
            <w:pPr>
              <w:spacing w:line="312" w:lineRule="auto"/>
              <w:jc w:val="both"/>
              <w:rPr>
                <w:sz w:val="18"/>
                <w:szCs w:val="18"/>
              </w:rPr>
            </w:pPr>
          </w:p>
          <w:p w:rsidR="00AC3A3A" w:rsidRPr="0004057A" w:rsidRDefault="00AC3A3A" w:rsidP="005365E8">
            <w:pPr>
              <w:spacing w:line="312" w:lineRule="auto"/>
              <w:jc w:val="both"/>
              <w:rPr>
                <w:sz w:val="18"/>
                <w:szCs w:val="18"/>
              </w:rPr>
            </w:pPr>
            <w:r>
              <w:rPr>
                <w:sz w:val="18"/>
                <w:szCs w:val="18"/>
              </w:rPr>
              <w:t>No obstante, se ha efectuado una valoración del cumplimiento de la obligación de manera proporcional al número de planes publicados que están vigentes</w:t>
            </w:r>
            <w:r w:rsidR="008408A7">
              <w:rPr>
                <w:sz w:val="18"/>
                <w:szCs w:val="18"/>
              </w:rPr>
              <w:t xml:space="preserve"> y al cumplimiento de los contenidos obligatorios que establece la LTAIBG</w:t>
            </w:r>
            <w:r>
              <w:rPr>
                <w:sz w:val="18"/>
                <w:szCs w:val="18"/>
              </w:rPr>
              <w:t xml:space="preserve">. </w:t>
            </w:r>
          </w:p>
          <w:p w:rsidR="00AC3A3A" w:rsidRPr="00CA6EF0" w:rsidRDefault="00AC3A3A" w:rsidP="00580DCF">
            <w:pPr>
              <w:spacing w:line="312" w:lineRule="auto"/>
              <w:jc w:val="both"/>
              <w:rPr>
                <w:sz w:val="18"/>
                <w:szCs w:val="18"/>
              </w:rPr>
            </w:pPr>
          </w:p>
        </w:tc>
      </w:tr>
      <w:tr w:rsidR="00AC3A3A" w:rsidRPr="00CA6EF0" w:rsidTr="00071029">
        <w:tc>
          <w:tcPr>
            <w:tcW w:w="3227" w:type="dxa"/>
            <w:tcBorders>
              <w:left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t>Grado de cumplimiento y resultados</w:t>
            </w:r>
          </w:p>
        </w:tc>
        <w:tc>
          <w:tcPr>
            <w:tcW w:w="1559" w:type="dxa"/>
          </w:tcPr>
          <w:p w:rsidR="00AC3A3A" w:rsidRPr="0021649B" w:rsidRDefault="00AC3A3A" w:rsidP="00965DCA">
            <w:pPr>
              <w:spacing w:line="312" w:lineRule="auto"/>
              <w:jc w:val="both"/>
              <w:rPr>
                <w:sz w:val="18"/>
                <w:szCs w:val="18"/>
              </w:rPr>
            </w:pPr>
            <w:r w:rsidRPr="0021649B">
              <w:rPr>
                <w:sz w:val="18"/>
                <w:szCs w:val="18"/>
              </w:rPr>
              <w:t>No</w:t>
            </w:r>
          </w:p>
        </w:tc>
        <w:tc>
          <w:tcPr>
            <w:tcW w:w="5812" w:type="dxa"/>
          </w:tcPr>
          <w:p w:rsidR="00AC3A3A" w:rsidRDefault="00AC3A3A" w:rsidP="00965DCA">
            <w:pPr>
              <w:spacing w:line="312" w:lineRule="auto"/>
              <w:jc w:val="both"/>
              <w:rPr>
                <w:sz w:val="18"/>
                <w:szCs w:val="18"/>
              </w:rPr>
            </w:pPr>
            <w:r>
              <w:rPr>
                <w:sz w:val="18"/>
                <w:szCs w:val="18"/>
              </w:rPr>
              <w:t>No existe un apartado específico, la información publicada se localiza en el apartado Planificación y Estadísticas.</w:t>
            </w:r>
          </w:p>
          <w:p w:rsidR="00AC3A3A" w:rsidRDefault="00AC3A3A" w:rsidP="00965DCA">
            <w:pPr>
              <w:spacing w:line="312" w:lineRule="auto"/>
              <w:jc w:val="both"/>
              <w:rPr>
                <w:sz w:val="18"/>
                <w:szCs w:val="18"/>
              </w:rPr>
            </w:pPr>
          </w:p>
          <w:p w:rsidR="00AC3A3A" w:rsidRDefault="00AC3A3A" w:rsidP="00965DCA">
            <w:pPr>
              <w:spacing w:line="312" w:lineRule="auto"/>
              <w:jc w:val="both"/>
              <w:rPr>
                <w:sz w:val="18"/>
                <w:szCs w:val="18"/>
              </w:rPr>
            </w:pPr>
            <w:r>
              <w:rPr>
                <w:sz w:val="18"/>
                <w:szCs w:val="18"/>
              </w:rPr>
              <w:t xml:space="preserve">Se han localizado 421 registros. De ellos 308  se refieren a información desactualizada. Por otra parte, 132 de los enlaces a la información están rotos. </w:t>
            </w:r>
          </w:p>
          <w:p w:rsidR="00AC3A3A" w:rsidRDefault="00AC3A3A" w:rsidP="00965DCA">
            <w:pPr>
              <w:spacing w:line="312" w:lineRule="auto"/>
              <w:jc w:val="both"/>
              <w:rPr>
                <w:sz w:val="18"/>
                <w:szCs w:val="18"/>
              </w:rPr>
            </w:pPr>
          </w:p>
          <w:p w:rsidR="00AC3A3A" w:rsidRDefault="00AC3A3A" w:rsidP="00965DCA">
            <w:pPr>
              <w:spacing w:line="312" w:lineRule="auto"/>
              <w:jc w:val="both"/>
              <w:rPr>
                <w:sz w:val="18"/>
                <w:szCs w:val="18"/>
              </w:rPr>
            </w:pPr>
            <w:r>
              <w:rPr>
                <w:sz w:val="18"/>
                <w:szCs w:val="18"/>
              </w:rPr>
              <w:t>No se publica información de los Ministerios de Asuntos Económicos y Agenda Digital y Consumo.</w:t>
            </w:r>
          </w:p>
          <w:p w:rsidR="00AC3A3A" w:rsidRDefault="00AC3A3A" w:rsidP="00965DCA">
            <w:pPr>
              <w:spacing w:line="312" w:lineRule="auto"/>
              <w:jc w:val="both"/>
              <w:rPr>
                <w:sz w:val="18"/>
                <w:szCs w:val="18"/>
              </w:rPr>
            </w:pPr>
          </w:p>
          <w:p w:rsidR="00AC3A3A" w:rsidRDefault="00AC3A3A" w:rsidP="00965DCA">
            <w:pPr>
              <w:spacing w:line="312" w:lineRule="auto"/>
              <w:jc w:val="both"/>
              <w:rPr>
                <w:sz w:val="18"/>
                <w:szCs w:val="18"/>
              </w:rPr>
            </w:pPr>
            <w:r>
              <w:rPr>
                <w:sz w:val="18"/>
                <w:szCs w:val="18"/>
              </w:rPr>
              <w:lastRenderedPageBreak/>
              <w:t>En cuanto a los contenidos, de los 421 registros publicados, 2</w:t>
            </w:r>
            <w:r w:rsidR="00D13E70">
              <w:rPr>
                <w:sz w:val="18"/>
                <w:szCs w:val="18"/>
              </w:rPr>
              <w:t>36</w:t>
            </w:r>
            <w:r>
              <w:rPr>
                <w:sz w:val="18"/>
                <w:szCs w:val="18"/>
              </w:rPr>
              <w:t xml:space="preserve"> contienen información estadística que correspondería a</w:t>
            </w:r>
            <w:r w:rsidR="009D5B5F">
              <w:rPr>
                <w:sz w:val="18"/>
                <w:szCs w:val="18"/>
              </w:rPr>
              <w:t xml:space="preserve"> la obligación contemplada en </w:t>
            </w:r>
            <w:r>
              <w:rPr>
                <w:sz w:val="18"/>
                <w:szCs w:val="18"/>
              </w:rPr>
              <w:t xml:space="preserve">la letra i) del artículo 8 de la LTAIBG, 81 contienen Planes o programas, 32 son Órdenes Ministeriales, 5 son Resoluciones, 4 son Reales Decretos Legislativos y 4 Reales Decretos y también se han localizado programaciones docentes, buscadores de proyectos de investigación, etc. Sólo se han localizado 20 registros que contengan información relacionada con esta obligación, de ellos 14 contienen información obsoleta. </w:t>
            </w:r>
          </w:p>
          <w:p w:rsidR="00AC3A3A" w:rsidRDefault="00AC3A3A" w:rsidP="00965DCA">
            <w:pPr>
              <w:spacing w:line="312" w:lineRule="auto"/>
              <w:jc w:val="both"/>
              <w:rPr>
                <w:sz w:val="18"/>
                <w:szCs w:val="18"/>
              </w:rPr>
            </w:pPr>
          </w:p>
          <w:p w:rsidR="00AC3A3A" w:rsidRDefault="00AC3A3A" w:rsidP="00965DCA">
            <w:pPr>
              <w:spacing w:line="312" w:lineRule="auto"/>
              <w:jc w:val="both"/>
              <w:rPr>
                <w:sz w:val="18"/>
                <w:szCs w:val="18"/>
              </w:rPr>
            </w:pPr>
            <w:r>
              <w:rPr>
                <w:sz w:val="18"/>
                <w:szCs w:val="18"/>
              </w:rPr>
              <w:t xml:space="preserve">También se ha observado que el apartado correspondiente al Ministerio de Sanidad se publica información correspondiente al Ministerio de Derechos Sociales y Agenda 2030 (109 de los 179 registros publicados) y que existe duplicidad de registros también en la información de este último Ministerio. </w:t>
            </w:r>
          </w:p>
          <w:p w:rsidR="00AC3A3A" w:rsidRDefault="00AC3A3A" w:rsidP="00965DCA">
            <w:pPr>
              <w:spacing w:line="312" w:lineRule="auto"/>
              <w:jc w:val="both"/>
              <w:rPr>
                <w:sz w:val="18"/>
                <w:szCs w:val="18"/>
              </w:rPr>
            </w:pPr>
          </w:p>
          <w:p w:rsidR="00AC3A3A" w:rsidRDefault="00AC3A3A" w:rsidP="00965DCA">
            <w:pPr>
              <w:spacing w:line="312" w:lineRule="auto"/>
              <w:jc w:val="both"/>
              <w:rPr>
                <w:sz w:val="18"/>
                <w:szCs w:val="18"/>
              </w:rPr>
            </w:pPr>
            <w:r>
              <w:rPr>
                <w:sz w:val="18"/>
                <w:szCs w:val="18"/>
              </w:rPr>
              <w:t>Otra cuestión que también se ha observado es que en ocasiones la denominación del enlace a la información hace referencia a un año concreto, mientras que el enlace redirige a una página que contiene información ac</w:t>
            </w:r>
            <w:r w:rsidR="008408A7">
              <w:rPr>
                <w:sz w:val="18"/>
                <w:szCs w:val="18"/>
              </w:rPr>
              <w:t>tualizada, lo que puede inducir a error al considerar que la información publicada no está vigente.</w:t>
            </w:r>
          </w:p>
          <w:p w:rsidR="00AC3A3A" w:rsidRDefault="00AC3A3A" w:rsidP="00965DCA">
            <w:pPr>
              <w:spacing w:line="312" w:lineRule="auto"/>
              <w:jc w:val="both"/>
              <w:rPr>
                <w:sz w:val="18"/>
                <w:szCs w:val="18"/>
              </w:rPr>
            </w:pPr>
          </w:p>
          <w:p w:rsidR="00AC3A3A" w:rsidRPr="008A1F54" w:rsidRDefault="00AC3A3A" w:rsidP="008A1F54">
            <w:pPr>
              <w:spacing w:line="312" w:lineRule="auto"/>
              <w:jc w:val="both"/>
              <w:rPr>
                <w:sz w:val="18"/>
                <w:szCs w:val="18"/>
              </w:rPr>
            </w:pPr>
            <w:r w:rsidRPr="008A1F54">
              <w:rPr>
                <w:sz w:val="18"/>
                <w:szCs w:val="18"/>
              </w:rPr>
              <w:t>En resumen sólo contienen  información vigente y que esté relacionada con los contenidos de la obligación 6 de los 421 registros, un 1,4% del total.</w:t>
            </w:r>
          </w:p>
        </w:tc>
      </w:tr>
      <w:tr w:rsidR="00AC3A3A" w:rsidRPr="00CA6EF0" w:rsidTr="00071029">
        <w:tc>
          <w:tcPr>
            <w:tcW w:w="3227" w:type="dxa"/>
            <w:tcBorders>
              <w:left w:val="single" w:sz="4" w:space="0" w:color="000000" w:themeColor="text1"/>
            </w:tcBorders>
          </w:tcPr>
          <w:p w:rsidR="00AC3A3A" w:rsidRPr="00CA6EF0" w:rsidRDefault="00AC3A3A" w:rsidP="00965DCA">
            <w:pPr>
              <w:spacing w:line="312" w:lineRule="auto"/>
              <w:jc w:val="both"/>
              <w:rPr>
                <w:sz w:val="18"/>
                <w:szCs w:val="18"/>
              </w:rPr>
            </w:pPr>
            <w:r w:rsidRPr="00CA6EF0">
              <w:rPr>
                <w:sz w:val="18"/>
                <w:szCs w:val="18"/>
              </w:rPr>
              <w:lastRenderedPageBreak/>
              <w:t>Indicadores de medida y valoración</w:t>
            </w:r>
          </w:p>
        </w:tc>
        <w:tc>
          <w:tcPr>
            <w:tcW w:w="1559" w:type="dxa"/>
          </w:tcPr>
          <w:p w:rsidR="00AC3A3A" w:rsidRPr="00AC3A3A" w:rsidRDefault="00AC3A3A" w:rsidP="00965DCA">
            <w:pPr>
              <w:spacing w:line="312" w:lineRule="auto"/>
              <w:jc w:val="both"/>
              <w:rPr>
                <w:sz w:val="18"/>
                <w:szCs w:val="18"/>
              </w:rPr>
            </w:pPr>
            <w:r w:rsidRPr="00AC3A3A">
              <w:rPr>
                <w:sz w:val="18"/>
                <w:szCs w:val="18"/>
              </w:rPr>
              <w:t>No</w:t>
            </w:r>
          </w:p>
        </w:tc>
        <w:tc>
          <w:tcPr>
            <w:tcW w:w="5812" w:type="dxa"/>
          </w:tcPr>
          <w:p w:rsidR="00AC3A3A" w:rsidRPr="00CA6EF0" w:rsidRDefault="00AC3A3A" w:rsidP="008A1F54">
            <w:pPr>
              <w:spacing w:line="312" w:lineRule="auto"/>
              <w:jc w:val="both"/>
              <w:rPr>
                <w:b/>
                <w:sz w:val="18"/>
                <w:szCs w:val="18"/>
              </w:rPr>
            </w:pPr>
            <w:r>
              <w:rPr>
                <w:sz w:val="18"/>
                <w:szCs w:val="18"/>
              </w:rPr>
              <w:t xml:space="preserve">Se han localizado 21 documentos que incorporan información sobre los indicadores de medida y valoración  del grado de cumplimiento de los objetivos de planes y programas. De ellos 15 se han localizado en los documentos de planificación y 6 en los informes de seguimiento y evaluación de planes y programas. </w:t>
            </w:r>
          </w:p>
        </w:tc>
      </w:tr>
      <w:tr w:rsidR="00071029" w:rsidRPr="00CA6EF0" w:rsidTr="00071029">
        <w:tc>
          <w:tcPr>
            <w:tcW w:w="3227" w:type="dxa"/>
            <w:tcBorders>
              <w:left w:val="single" w:sz="4" w:space="0" w:color="000000" w:themeColor="text1"/>
            </w:tcBorders>
          </w:tcPr>
          <w:p w:rsidR="00071029" w:rsidRPr="00CA6EF0" w:rsidRDefault="00071029" w:rsidP="00965DCA">
            <w:pPr>
              <w:spacing w:line="312" w:lineRule="auto"/>
              <w:jc w:val="both"/>
              <w:rPr>
                <w:sz w:val="18"/>
                <w:szCs w:val="18"/>
              </w:rPr>
            </w:pPr>
            <w:r w:rsidRPr="00071029">
              <w:rPr>
                <w:sz w:val="18"/>
                <w:szCs w:val="18"/>
              </w:rPr>
              <w:t>Directrices, instrucciones, acuerdos, circulares o respuestas a consultas</w:t>
            </w:r>
          </w:p>
        </w:tc>
        <w:tc>
          <w:tcPr>
            <w:tcW w:w="1559" w:type="dxa"/>
          </w:tcPr>
          <w:p w:rsidR="00071029" w:rsidRPr="00AC3A3A" w:rsidRDefault="00536AE8" w:rsidP="00965DCA">
            <w:pPr>
              <w:spacing w:line="312" w:lineRule="auto"/>
              <w:jc w:val="both"/>
              <w:rPr>
                <w:sz w:val="18"/>
                <w:szCs w:val="18"/>
              </w:rPr>
            </w:pPr>
            <w:r>
              <w:rPr>
                <w:sz w:val="18"/>
                <w:szCs w:val="18"/>
              </w:rPr>
              <w:t>No</w:t>
            </w:r>
          </w:p>
        </w:tc>
        <w:tc>
          <w:tcPr>
            <w:tcW w:w="5812" w:type="dxa"/>
          </w:tcPr>
          <w:p w:rsidR="00071029" w:rsidRDefault="001155E0" w:rsidP="008A1F54">
            <w:pPr>
              <w:spacing w:line="312" w:lineRule="auto"/>
              <w:jc w:val="both"/>
              <w:rPr>
                <w:sz w:val="18"/>
                <w:szCs w:val="18"/>
              </w:rPr>
            </w:pPr>
            <w:r>
              <w:rPr>
                <w:sz w:val="18"/>
                <w:szCs w:val="18"/>
              </w:rPr>
              <w:t>No es posible descargar en formato Excel toda la información que contiene el apartado Directrices, Instrucciones porque el número de registros supera el límite de 2.000</w:t>
            </w:r>
            <w:r w:rsidR="008408A7">
              <w:rPr>
                <w:sz w:val="18"/>
                <w:szCs w:val="18"/>
              </w:rPr>
              <w:t>,</w:t>
            </w:r>
            <w:r>
              <w:rPr>
                <w:sz w:val="18"/>
                <w:szCs w:val="18"/>
              </w:rPr>
              <w:t xml:space="preserve"> lo que obliga a buscar</w:t>
            </w:r>
            <w:r w:rsidR="00536AE8">
              <w:rPr>
                <w:sz w:val="18"/>
                <w:szCs w:val="18"/>
              </w:rPr>
              <w:t xml:space="preserve"> </w:t>
            </w:r>
            <w:r>
              <w:rPr>
                <w:sz w:val="18"/>
                <w:szCs w:val="18"/>
              </w:rPr>
              <w:t>la información para cada uno de los Ministerios.</w:t>
            </w:r>
          </w:p>
          <w:p w:rsidR="00536AE8" w:rsidRDefault="00536AE8" w:rsidP="008A1F54">
            <w:pPr>
              <w:spacing w:line="312" w:lineRule="auto"/>
              <w:jc w:val="both"/>
              <w:rPr>
                <w:sz w:val="18"/>
                <w:szCs w:val="18"/>
              </w:rPr>
            </w:pPr>
          </w:p>
          <w:p w:rsidR="001155E0" w:rsidRDefault="001155E0" w:rsidP="001155E0">
            <w:pPr>
              <w:spacing w:line="312" w:lineRule="auto"/>
              <w:jc w:val="both"/>
              <w:rPr>
                <w:sz w:val="18"/>
                <w:szCs w:val="18"/>
              </w:rPr>
            </w:pPr>
            <w:r>
              <w:rPr>
                <w:sz w:val="18"/>
                <w:szCs w:val="18"/>
              </w:rPr>
              <w:t>Se ha localizado un total de 2.102 registros en este apartado.</w:t>
            </w:r>
            <w:r w:rsidR="00536AE8">
              <w:rPr>
                <w:sz w:val="18"/>
                <w:szCs w:val="18"/>
              </w:rPr>
              <w:t xml:space="preserve"> No se ha localizado información para los Ministerios de Ciencia e Innovación, Consumo, Política Territorial, y Transición Ecológica</w:t>
            </w:r>
            <w:r w:rsidR="008408A7">
              <w:rPr>
                <w:sz w:val="18"/>
                <w:szCs w:val="18"/>
              </w:rPr>
              <w:t xml:space="preserve"> y Reto Demográfico</w:t>
            </w:r>
            <w:r w:rsidR="00536AE8">
              <w:rPr>
                <w:sz w:val="18"/>
                <w:szCs w:val="18"/>
              </w:rPr>
              <w:t xml:space="preserve">, aunque en este último caso si aparece información entre los registros del Ministerio de Agricultura, Pesca y Alimentación. El Ministerio de Educación incluye información de los Ministerio de Universidades y de Cultura y Deportes. Por otra parte el Ministerio de Trabajo incluye información del Ministerio de Inclusión y el Ministerio de Sanidad incluye información de los Ministerios de Derechos </w:t>
            </w:r>
            <w:r w:rsidR="00536AE8">
              <w:rPr>
                <w:sz w:val="18"/>
                <w:szCs w:val="18"/>
              </w:rPr>
              <w:lastRenderedPageBreak/>
              <w:t>Sociales</w:t>
            </w:r>
            <w:r w:rsidR="008408A7">
              <w:rPr>
                <w:sz w:val="18"/>
                <w:szCs w:val="18"/>
              </w:rPr>
              <w:t xml:space="preserve"> y Agenda 2030</w:t>
            </w:r>
            <w:r w:rsidR="00536AE8">
              <w:rPr>
                <w:sz w:val="18"/>
                <w:szCs w:val="18"/>
              </w:rPr>
              <w:t xml:space="preserve"> e Igualdad.</w:t>
            </w:r>
          </w:p>
          <w:p w:rsidR="00536AE8" w:rsidRDefault="00536AE8" w:rsidP="001155E0">
            <w:pPr>
              <w:spacing w:line="312" w:lineRule="auto"/>
              <w:jc w:val="both"/>
              <w:rPr>
                <w:sz w:val="18"/>
                <w:szCs w:val="18"/>
              </w:rPr>
            </w:pPr>
          </w:p>
          <w:p w:rsidR="00536AE8" w:rsidRDefault="00536AE8" w:rsidP="001155E0">
            <w:pPr>
              <w:spacing w:line="312" w:lineRule="auto"/>
              <w:jc w:val="both"/>
              <w:rPr>
                <w:sz w:val="18"/>
                <w:szCs w:val="18"/>
              </w:rPr>
            </w:pPr>
            <w:r>
              <w:rPr>
                <w:sz w:val="18"/>
                <w:szCs w:val="18"/>
              </w:rPr>
              <w:t>De los registros publicados, 1.059 no se corresponden con los contenidos de la información (de ellos 1.038 son Órdenes Ministeriales), 125 contienen información no vigente y se han localizado 95 enlaces rotos. Otros 513 registros que se relacionan con las categorías Instrucciones, Resoluciones</w:t>
            </w:r>
            <w:r w:rsidR="00AB7F8B">
              <w:rPr>
                <w:sz w:val="18"/>
                <w:szCs w:val="18"/>
              </w:rPr>
              <w:t xml:space="preserve"> – que no aparece mencionada entre los contenidos de la letra a) del artículo 7 de la LTAIBG -</w:t>
            </w:r>
            <w:r>
              <w:rPr>
                <w:sz w:val="18"/>
                <w:szCs w:val="18"/>
              </w:rPr>
              <w:t>, Acuerdos y Circulares, redirigen al BOE por lo que no deberían ser considerados para el cumplimiento de esta obligación. Por otra parte se han detectado numerosos registros duplicados en los Ministerios de Cultura –localizables en la página de Educación -, Interior y Justicia.</w:t>
            </w:r>
          </w:p>
          <w:p w:rsidR="00536AE8" w:rsidRDefault="00536AE8" w:rsidP="001155E0">
            <w:pPr>
              <w:spacing w:line="312" w:lineRule="auto"/>
              <w:jc w:val="both"/>
              <w:rPr>
                <w:sz w:val="18"/>
                <w:szCs w:val="18"/>
              </w:rPr>
            </w:pPr>
          </w:p>
          <w:p w:rsidR="001155E0" w:rsidRDefault="00536AE8" w:rsidP="00AB7F8B">
            <w:pPr>
              <w:spacing w:line="312" w:lineRule="auto"/>
              <w:jc w:val="both"/>
              <w:rPr>
                <w:sz w:val="18"/>
                <w:szCs w:val="18"/>
              </w:rPr>
            </w:pPr>
            <w:r>
              <w:rPr>
                <w:sz w:val="18"/>
                <w:szCs w:val="18"/>
              </w:rPr>
              <w:t>En resumen, de los 2102 registros correspondientes a esta obligación solo 98</w:t>
            </w:r>
            <w:r w:rsidR="00AB7F8B">
              <w:rPr>
                <w:sz w:val="18"/>
                <w:szCs w:val="18"/>
              </w:rPr>
              <w:t xml:space="preserve"> – entre ellos 53 Resoluciones -</w:t>
            </w:r>
            <w:r>
              <w:rPr>
                <w:sz w:val="18"/>
                <w:szCs w:val="18"/>
              </w:rPr>
              <w:t>, un 4,7% del total, se corresponden con sus contenidos.</w:t>
            </w:r>
          </w:p>
        </w:tc>
      </w:tr>
      <w:tr w:rsidR="00071029" w:rsidRPr="00CA6EF0" w:rsidTr="00071029">
        <w:tc>
          <w:tcPr>
            <w:tcW w:w="3227" w:type="dxa"/>
            <w:tcBorders>
              <w:left w:val="single" w:sz="4" w:space="0" w:color="000000" w:themeColor="text1"/>
            </w:tcBorders>
          </w:tcPr>
          <w:p w:rsidR="00071029" w:rsidRPr="00CA6EF0" w:rsidRDefault="00536AE8" w:rsidP="00965DCA">
            <w:pPr>
              <w:spacing w:line="312" w:lineRule="auto"/>
              <w:jc w:val="both"/>
              <w:rPr>
                <w:sz w:val="18"/>
                <w:szCs w:val="18"/>
              </w:rPr>
            </w:pPr>
            <w:r>
              <w:rPr>
                <w:sz w:val="18"/>
                <w:szCs w:val="18"/>
              </w:rPr>
              <w:lastRenderedPageBreak/>
              <w:t>Anteproyectos de Ley</w:t>
            </w:r>
          </w:p>
        </w:tc>
        <w:tc>
          <w:tcPr>
            <w:tcW w:w="1559" w:type="dxa"/>
          </w:tcPr>
          <w:p w:rsidR="00071029" w:rsidRPr="00AC3A3A" w:rsidRDefault="00536AE8" w:rsidP="00965DCA">
            <w:pPr>
              <w:spacing w:line="312" w:lineRule="auto"/>
              <w:jc w:val="both"/>
              <w:rPr>
                <w:sz w:val="18"/>
                <w:szCs w:val="18"/>
              </w:rPr>
            </w:pPr>
            <w:r>
              <w:rPr>
                <w:sz w:val="18"/>
                <w:szCs w:val="18"/>
              </w:rPr>
              <w:t>No</w:t>
            </w:r>
          </w:p>
        </w:tc>
        <w:tc>
          <w:tcPr>
            <w:tcW w:w="5812" w:type="dxa"/>
          </w:tcPr>
          <w:p w:rsidR="00536AE8" w:rsidRDefault="00536AE8" w:rsidP="008A1F54">
            <w:pPr>
              <w:spacing w:line="312" w:lineRule="auto"/>
              <w:jc w:val="both"/>
              <w:rPr>
                <w:sz w:val="18"/>
                <w:szCs w:val="18"/>
              </w:rPr>
            </w:pPr>
            <w:r>
              <w:rPr>
                <w:sz w:val="18"/>
                <w:szCs w:val="18"/>
              </w:rPr>
              <w:t xml:space="preserve">No se publica información de los Ministerios de Asuntos Económicos y Transformación Digital,  Ciencia, Consumo y Derechos Sociales  – en </w:t>
            </w:r>
            <w:r w:rsidR="008408A7">
              <w:rPr>
                <w:sz w:val="18"/>
                <w:szCs w:val="18"/>
              </w:rPr>
              <w:t>estos dos últimos</w:t>
            </w:r>
            <w:r>
              <w:rPr>
                <w:sz w:val="18"/>
                <w:szCs w:val="18"/>
              </w:rPr>
              <w:t xml:space="preserve"> casos se ha localizado información entre la correspondiente a Sanidad -.</w:t>
            </w:r>
          </w:p>
          <w:p w:rsidR="00536AE8" w:rsidRDefault="00536AE8" w:rsidP="008A1F54">
            <w:pPr>
              <w:spacing w:line="312" w:lineRule="auto"/>
              <w:jc w:val="both"/>
              <w:rPr>
                <w:sz w:val="18"/>
                <w:szCs w:val="18"/>
              </w:rPr>
            </w:pPr>
          </w:p>
          <w:p w:rsidR="00071029" w:rsidRDefault="00536AE8" w:rsidP="008A1F54">
            <w:pPr>
              <w:spacing w:line="312" w:lineRule="auto"/>
              <w:jc w:val="both"/>
              <w:rPr>
                <w:sz w:val="18"/>
                <w:szCs w:val="18"/>
              </w:rPr>
            </w:pPr>
            <w:r>
              <w:rPr>
                <w:sz w:val="18"/>
                <w:szCs w:val="18"/>
              </w:rPr>
              <w:t>Se han localizado un total de 123 registros, de ellos 28 son Proyectos de Ley – aunque en algunos casos se incluye el anteproyecto de Ley -, 67 son proyectos de Reales Decretos y 2 registros adicionales son proyecto</w:t>
            </w:r>
            <w:r w:rsidR="009D5B5F">
              <w:rPr>
                <w:sz w:val="18"/>
                <w:szCs w:val="18"/>
              </w:rPr>
              <w:t>s</w:t>
            </w:r>
            <w:r>
              <w:rPr>
                <w:sz w:val="18"/>
                <w:szCs w:val="18"/>
              </w:rPr>
              <w:t xml:space="preserve"> de Órdenes Ministeriales. </w:t>
            </w:r>
          </w:p>
          <w:p w:rsidR="009D5B5F" w:rsidRDefault="009D5B5F" w:rsidP="008A1F54">
            <w:pPr>
              <w:spacing w:line="312" w:lineRule="auto"/>
              <w:jc w:val="both"/>
              <w:rPr>
                <w:sz w:val="18"/>
                <w:szCs w:val="18"/>
              </w:rPr>
            </w:pPr>
          </w:p>
          <w:p w:rsidR="00536AE8" w:rsidRDefault="00536AE8" w:rsidP="00536AE8">
            <w:pPr>
              <w:spacing w:line="312" w:lineRule="auto"/>
              <w:jc w:val="both"/>
              <w:rPr>
                <w:sz w:val="18"/>
                <w:szCs w:val="18"/>
              </w:rPr>
            </w:pPr>
            <w:r>
              <w:rPr>
                <w:sz w:val="18"/>
                <w:szCs w:val="18"/>
              </w:rPr>
              <w:t>Todos los enlaces a la información publicada relativa a esta obligación están rotos.</w:t>
            </w:r>
          </w:p>
        </w:tc>
      </w:tr>
      <w:tr w:rsidR="00071029" w:rsidRPr="00CA6EF0" w:rsidTr="00071029">
        <w:tc>
          <w:tcPr>
            <w:tcW w:w="3227" w:type="dxa"/>
            <w:tcBorders>
              <w:left w:val="single" w:sz="4" w:space="0" w:color="000000" w:themeColor="text1"/>
            </w:tcBorders>
          </w:tcPr>
          <w:p w:rsidR="00071029" w:rsidRPr="00CA6EF0" w:rsidRDefault="00536AE8" w:rsidP="00536AE8">
            <w:pPr>
              <w:spacing w:line="312" w:lineRule="auto"/>
              <w:jc w:val="both"/>
              <w:rPr>
                <w:sz w:val="18"/>
                <w:szCs w:val="18"/>
              </w:rPr>
            </w:pPr>
            <w:r>
              <w:rPr>
                <w:sz w:val="18"/>
                <w:szCs w:val="18"/>
              </w:rPr>
              <w:t>Proyectos de Decretos Legislativos</w:t>
            </w:r>
          </w:p>
        </w:tc>
        <w:tc>
          <w:tcPr>
            <w:tcW w:w="1559" w:type="dxa"/>
          </w:tcPr>
          <w:p w:rsidR="00071029" w:rsidRPr="00AC3A3A" w:rsidRDefault="00536AE8" w:rsidP="00965DCA">
            <w:pPr>
              <w:spacing w:line="312" w:lineRule="auto"/>
              <w:jc w:val="both"/>
              <w:rPr>
                <w:sz w:val="18"/>
                <w:szCs w:val="18"/>
              </w:rPr>
            </w:pPr>
            <w:r>
              <w:rPr>
                <w:sz w:val="18"/>
                <w:szCs w:val="18"/>
              </w:rPr>
              <w:t>No</w:t>
            </w:r>
          </w:p>
        </w:tc>
        <w:tc>
          <w:tcPr>
            <w:tcW w:w="5812" w:type="dxa"/>
          </w:tcPr>
          <w:p w:rsidR="00071029" w:rsidRDefault="00536AE8" w:rsidP="008A1F54">
            <w:pPr>
              <w:spacing w:line="312" w:lineRule="auto"/>
              <w:jc w:val="both"/>
              <w:rPr>
                <w:sz w:val="18"/>
                <w:szCs w:val="18"/>
              </w:rPr>
            </w:pPr>
            <w:r>
              <w:rPr>
                <w:sz w:val="18"/>
                <w:szCs w:val="18"/>
              </w:rPr>
              <w:t>No se ha localizado información</w:t>
            </w:r>
            <w:r w:rsidR="00AB7F8B">
              <w:rPr>
                <w:sz w:val="18"/>
                <w:szCs w:val="18"/>
              </w:rPr>
              <w:t xml:space="preserve">. </w:t>
            </w:r>
            <w:r w:rsidR="00AB7F8B" w:rsidRPr="00AB7F8B">
              <w:rPr>
                <w:sz w:val="18"/>
                <w:szCs w:val="18"/>
              </w:rPr>
              <w:t>Tampoco se informa sobre su inexistencia</w:t>
            </w:r>
          </w:p>
        </w:tc>
      </w:tr>
      <w:tr w:rsidR="00071029" w:rsidRPr="00CA6EF0" w:rsidTr="00071029">
        <w:tc>
          <w:tcPr>
            <w:tcW w:w="3227" w:type="dxa"/>
            <w:tcBorders>
              <w:left w:val="single" w:sz="4" w:space="0" w:color="000000" w:themeColor="text1"/>
            </w:tcBorders>
          </w:tcPr>
          <w:p w:rsidR="00071029" w:rsidRPr="00CA6EF0" w:rsidRDefault="00536AE8" w:rsidP="00965DCA">
            <w:pPr>
              <w:spacing w:line="312" w:lineRule="auto"/>
              <w:jc w:val="both"/>
              <w:rPr>
                <w:sz w:val="18"/>
                <w:szCs w:val="18"/>
              </w:rPr>
            </w:pPr>
            <w:r>
              <w:rPr>
                <w:sz w:val="18"/>
                <w:szCs w:val="18"/>
              </w:rPr>
              <w:t>Proyectos de reglamentos</w:t>
            </w:r>
          </w:p>
        </w:tc>
        <w:tc>
          <w:tcPr>
            <w:tcW w:w="1559" w:type="dxa"/>
          </w:tcPr>
          <w:p w:rsidR="00071029" w:rsidRPr="00AC3A3A" w:rsidRDefault="00536AE8" w:rsidP="00965DCA">
            <w:pPr>
              <w:spacing w:line="312" w:lineRule="auto"/>
              <w:jc w:val="both"/>
              <w:rPr>
                <w:sz w:val="18"/>
                <w:szCs w:val="18"/>
              </w:rPr>
            </w:pPr>
            <w:r>
              <w:rPr>
                <w:sz w:val="18"/>
                <w:szCs w:val="18"/>
              </w:rPr>
              <w:t>No</w:t>
            </w:r>
          </w:p>
        </w:tc>
        <w:tc>
          <w:tcPr>
            <w:tcW w:w="5812" w:type="dxa"/>
          </w:tcPr>
          <w:p w:rsidR="00071029" w:rsidRDefault="00536AE8" w:rsidP="00536AE8">
            <w:pPr>
              <w:spacing w:line="312" w:lineRule="auto"/>
              <w:jc w:val="both"/>
              <w:rPr>
                <w:sz w:val="18"/>
                <w:szCs w:val="18"/>
              </w:rPr>
            </w:pPr>
            <w:r>
              <w:rPr>
                <w:sz w:val="18"/>
                <w:szCs w:val="18"/>
              </w:rPr>
              <w:t>Se ha localizado un total de 7 registros, en todos los casos los enlaces estaban rotos</w:t>
            </w:r>
          </w:p>
        </w:tc>
      </w:tr>
      <w:tr w:rsidR="00071029" w:rsidRPr="00CA6EF0" w:rsidTr="00071029">
        <w:tc>
          <w:tcPr>
            <w:tcW w:w="3227" w:type="dxa"/>
            <w:tcBorders>
              <w:left w:val="single" w:sz="4" w:space="0" w:color="000000" w:themeColor="text1"/>
            </w:tcBorders>
          </w:tcPr>
          <w:p w:rsidR="00071029" w:rsidRPr="00CA6EF0" w:rsidRDefault="00536AE8" w:rsidP="00965DCA">
            <w:pPr>
              <w:spacing w:line="312" w:lineRule="auto"/>
              <w:jc w:val="both"/>
              <w:rPr>
                <w:sz w:val="18"/>
                <w:szCs w:val="18"/>
              </w:rPr>
            </w:pPr>
            <w:r>
              <w:rPr>
                <w:sz w:val="18"/>
                <w:szCs w:val="18"/>
              </w:rPr>
              <w:t>Memorias e Informes que conforman  los expedientes de elaboración de los textos normativos</w:t>
            </w:r>
          </w:p>
        </w:tc>
        <w:tc>
          <w:tcPr>
            <w:tcW w:w="1559" w:type="dxa"/>
          </w:tcPr>
          <w:p w:rsidR="00071029" w:rsidRPr="00AC3A3A" w:rsidRDefault="00536AE8" w:rsidP="00965DCA">
            <w:pPr>
              <w:spacing w:line="312" w:lineRule="auto"/>
              <w:jc w:val="both"/>
              <w:rPr>
                <w:sz w:val="18"/>
                <w:szCs w:val="18"/>
              </w:rPr>
            </w:pPr>
            <w:r>
              <w:rPr>
                <w:sz w:val="18"/>
                <w:szCs w:val="18"/>
              </w:rPr>
              <w:t>No</w:t>
            </w:r>
          </w:p>
        </w:tc>
        <w:tc>
          <w:tcPr>
            <w:tcW w:w="5812" w:type="dxa"/>
          </w:tcPr>
          <w:p w:rsidR="00536AE8" w:rsidRDefault="00536AE8" w:rsidP="00536AE8">
            <w:pPr>
              <w:spacing w:line="312" w:lineRule="auto"/>
              <w:jc w:val="both"/>
              <w:rPr>
                <w:sz w:val="18"/>
                <w:szCs w:val="18"/>
              </w:rPr>
            </w:pPr>
            <w:r w:rsidRPr="00536AE8">
              <w:rPr>
                <w:sz w:val="18"/>
                <w:szCs w:val="18"/>
              </w:rPr>
              <w:t xml:space="preserve">Esta información se ubica en el acceso “Normas en tramitación”. </w:t>
            </w:r>
            <w:bookmarkStart w:id="0" w:name="_GoBack"/>
            <w:bookmarkEnd w:id="0"/>
          </w:p>
          <w:p w:rsidR="00536AE8" w:rsidRDefault="00536AE8" w:rsidP="00536AE8">
            <w:pPr>
              <w:spacing w:line="312" w:lineRule="auto"/>
              <w:jc w:val="both"/>
              <w:rPr>
                <w:sz w:val="18"/>
                <w:szCs w:val="18"/>
              </w:rPr>
            </w:pPr>
            <w:r>
              <w:rPr>
                <w:sz w:val="18"/>
                <w:szCs w:val="18"/>
              </w:rPr>
              <w:t xml:space="preserve">Como en el caso de </w:t>
            </w:r>
            <w:r w:rsidR="009D5B5F">
              <w:rPr>
                <w:sz w:val="18"/>
                <w:szCs w:val="18"/>
              </w:rPr>
              <w:t>l</w:t>
            </w:r>
            <w:r>
              <w:rPr>
                <w:sz w:val="18"/>
                <w:szCs w:val="18"/>
              </w:rPr>
              <w:t>os Anteproyectos de Ley y Proyectos de Reglamentos, los enlaces a esta información están rotos</w:t>
            </w:r>
          </w:p>
        </w:tc>
      </w:tr>
      <w:tr w:rsidR="00536AE8" w:rsidRPr="00CA6EF0" w:rsidTr="00071029">
        <w:tc>
          <w:tcPr>
            <w:tcW w:w="3227" w:type="dxa"/>
            <w:tcBorders>
              <w:left w:val="single" w:sz="4" w:space="0" w:color="000000" w:themeColor="text1"/>
            </w:tcBorders>
          </w:tcPr>
          <w:p w:rsidR="00536AE8" w:rsidRDefault="00536AE8" w:rsidP="00965DCA">
            <w:pPr>
              <w:spacing w:line="312" w:lineRule="auto"/>
              <w:jc w:val="both"/>
              <w:rPr>
                <w:sz w:val="18"/>
                <w:szCs w:val="18"/>
              </w:rPr>
            </w:pPr>
            <w:r w:rsidRPr="00536AE8">
              <w:rPr>
                <w:sz w:val="18"/>
                <w:szCs w:val="18"/>
              </w:rPr>
              <w:t>Documentos sometidos a información pública durante su tramitación</w:t>
            </w:r>
          </w:p>
        </w:tc>
        <w:tc>
          <w:tcPr>
            <w:tcW w:w="1559" w:type="dxa"/>
          </w:tcPr>
          <w:p w:rsidR="00536AE8" w:rsidRDefault="00536AE8" w:rsidP="00965DCA">
            <w:pPr>
              <w:spacing w:line="312" w:lineRule="auto"/>
              <w:jc w:val="both"/>
              <w:rPr>
                <w:sz w:val="18"/>
                <w:szCs w:val="18"/>
              </w:rPr>
            </w:pPr>
            <w:r>
              <w:rPr>
                <w:sz w:val="18"/>
                <w:szCs w:val="18"/>
              </w:rPr>
              <w:t>No</w:t>
            </w:r>
          </w:p>
        </w:tc>
        <w:tc>
          <w:tcPr>
            <w:tcW w:w="5812" w:type="dxa"/>
          </w:tcPr>
          <w:p w:rsidR="00536AE8" w:rsidRDefault="00536AE8" w:rsidP="00536AE8">
            <w:pPr>
              <w:spacing w:line="312" w:lineRule="auto"/>
              <w:jc w:val="both"/>
              <w:rPr>
                <w:sz w:val="18"/>
                <w:szCs w:val="18"/>
              </w:rPr>
            </w:pPr>
            <w:r>
              <w:rPr>
                <w:sz w:val="18"/>
                <w:szCs w:val="18"/>
              </w:rPr>
              <w:t xml:space="preserve">En </w:t>
            </w:r>
            <w:r w:rsidRPr="00536AE8">
              <w:rPr>
                <w:sz w:val="18"/>
                <w:szCs w:val="18"/>
              </w:rPr>
              <w:t xml:space="preserve">el acceso “Información pública: otros documentos”  se indica que contiene los documentos de carácter no normativo que, conforme a la legislación sectorial vigente, deban ser sometidos a un período de información pública durante su tramitación (artículo 7.e Ley 19/2013, de 9 de diciembre). Sin embargo, únicamente informan de esta obligación de publicidad activa </w:t>
            </w:r>
            <w:r w:rsidR="008D2063">
              <w:rPr>
                <w:sz w:val="18"/>
                <w:szCs w:val="18"/>
              </w:rPr>
              <w:t>tres</w:t>
            </w:r>
            <w:r w:rsidRPr="00536AE8">
              <w:rPr>
                <w:sz w:val="18"/>
                <w:szCs w:val="18"/>
              </w:rPr>
              <w:t xml:space="preserve"> Ministerios: el Ministerio de Hacienda (</w:t>
            </w:r>
            <w:r>
              <w:rPr>
                <w:sz w:val="18"/>
                <w:szCs w:val="18"/>
              </w:rPr>
              <w:t>que indica que actualmente no hay documentos sometidos a información pública</w:t>
            </w:r>
            <w:r w:rsidRPr="00536AE8">
              <w:rPr>
                <w:sz w:val="18"/>
                <w:szCs w:val="18"/>
              </w:rPr>
              <w:t xml:space="preserve">) y </w:t>
            </w:r>
            <w:r>
              <w:rPr>
                <w:sz w:val="18"/>
                <w:szCs w:val="18"/>
              </w:rPr>
              <w:t>los</w:t>
            </w:r>
            <w:r w:rsidRPr="00536AE8">
              <w:rPr>
                <w:sz w:val="18"/>
                <w:szCs w:val="18"/>
              </w:rPr>
              <w:t xml:space="preserve"> Ministerio</w:t>
            </w:r>
            <w:r>
              <w:rPr>
                <w:sz w:val="18"/>
                <w:szCs w:val="18"/>
              </w:rPr>
              <w:t xml:space="preserve">s de Transición Ecológica y Reto Demográfico y </w:t>
            </w:r>
            <w:r w:rsidRPr="00536AE8">
              <w:rPr>
                <w:sz w:val="18"/>
                <w:szCs w:val="18"/>
              </w:rPr>
              <w:t>Transportes, Movilidad y Agenda Urbana.</w:t>
            </w:r>
          </w:p>
          <w:p w:rsidR="009D5B5F" w:rsidRDefault="009D5B5F" w:rsidP="00536AE8">
            <w:pPr>
              <w:spacing w:line="312" w:lineRule="auto"/>
              <w:jc w:val="both"/>
              <w:rPr>
                <w:sz w:val="18"/>
                <w:szCs w:val="18"/>
              </w:rPr>
            </w:pPr>
          </w:p>
          <w:p w:rsidR="00F37B3C" w:rsidRPr="00536AE8" w:rsidRDefault="00F37B3C" w:rsidP="009D5B5F">
            <w:pPr>
              <w:spacing w:line="312" w:lineRule="auto"/>
              <w:jc w:val="both"/>
              <w:rPr>
                <w:sz w:val="18"/>
                <w:szCs w:val="18"/>
              </w:rPr>
            </w:pPr>
            <w:r>
              <w:rPr>
                <w:sz w:val="18"/>
                <w:szCs w:val="18"/>
              </w:rPr>
              <w:lastRenderedPageBreak/>
              <w:t>Los restantes Ministerio</w:t>
            </w:r>
            <w:r w:rsidR="00B1646A">
              <w:rPr>
                <w:sz w:val="18"/>
                <w:szCs w:val="18"/>
              </w:rPr>
              <w:t>s</w:t>
            </w:r>
            <w:r>
              <w:rPr>
                <w:sz w:val="18"/>
                <w:szCs w:val="18"/>
              </w:rPr>
              <w:t xml:space="preserve"> publican proyectos de normas sometidos a consulta </w:t>
            </w:r>
            <w:r w:rsidR="007342A6">
              <w:rPr>
                <w:sz w:val="18"/>
                <w:szCs w:val="18"/>
              </w:rPr>
              <w:t xml:space="preserve">pública, siendo esta información </w:t>
            </w:r>
            <w:r w:rsidR="009D5B5F">
              <w:rPr>
                <w:sz w:val="18"/>
                <w:szCs w:val="18"/>
              </w:rPr>
              <w:t>redundante</w:t>
            </w:r>
            <w:r w:rsidR="007342A6">
              <w:rPr>
                <w:sz w:val="18"/>
                <w:szCs w:val="18"/>
              </w:rPr>
              <w:t xml:space="preserve"> con la que es localizable a través del apartado “Información pública: normas”</w:t>
            </w:r>
          </w:p>
        </w:tc>
      </w:tr>
      <w:tr w:rsidR="009D5B5F" w:rsidRPr="00CA6EF0" w:rsidTr="00071029">
        <w:tc>
          <w:tcPr>
            <w:tcW w:w="3227" w:type="dxa"/>
            <w:tcBorders>
              <w:left w:val="single" w:sz="4" w:space="0" w:color="000000" w:themeColor="text1"/>
            </w:tcBorders>
          </w:tcPr>
          <w:p w:rsidR="009D5B5F" w:rsidRPr="00536AE8" w:rsidRDefault="009D5B5F" w:rsidP="00965DCA">
            <w:pPr>
              <w:spacing w:line="312" w:lineRule="auto"/>
              <w:jc w:val="both"/>
              <w:rPr>
                <w:sz w:val="18"/>
                <w:szCs w:val="18"/>
              </w:rPr>
            </w:pPr>
            <w:r>
              <w:rPr>
                <w:sz w:val="18"/>
                <w:szCs w:val="18"/>
              </w:rPr>
              <w:lastRenderedPageBreak/>
              <w:t>Contratos</w:t>
            </w:r>
            <w:r w:rsidR="00037912">
              <w:rPr>
                <w:sz w:val="18"/>
                <w:szCs w:val="18"/>
              </w:rPr>
              <w:t>: incluir en las fichas resumen información sobre modificaciones</w:t>
            </w:r>
          </w:p>
        </w:tc>
        <w:tc>
          <w:tcPr>
            <w:tcW w:w="1559" w:type="dxa"/>
          </w:tcPr>
          <w:p w:rsidR="009D5B5F" w:rsidRDefault="00037912" w:rsidP="00965DCA">
            <w:pPr>
              <w:spacing w:line="312" w:lineRule="auto"/>
              <w:jc w:val="both"/>
              <w:rPr>
                <w:sz w:val="18"/>
                <w:szCs w:val="18"/>
              </w:rPr>
            </w:pPr>
            <w:r>
              <w:rPr>
                <w:sz w:val="18"/>
                <w:szCs w:val="18"/>
              </w:rPr>
              <w:t>No</w:t>
            </w:r>
          </w:p>
        </w:tc>
        <w:tc>
          <w:tcPr>
            <w:tcW w:w="5812" w:type="dxa"/>
          </w:tcPr>
          <w:p w:rsidR="009D5B5F" w:rsidRDefault="00037912" w:rsidP="00536AE8">
            <w:pPr>
              <w:spacing w:line="312" w:lineRule="auto"/>
              <w:jc w:val="both"/>
              <w:rPr>
                <w:sz w:val="18"/>
                <w:szCs w:val="18"/>
              </w:rPr>
            </w:pPr>
            <w:r>
              <w:rPr>
                <w:sz w:val="18"/>
                <w:szCs w:val="18"/>
              </w:rPr>
              <w:t>La ficha mantiene los mismos campos. Por lo tanto para localizar las modificaciones de contratos es preciso abrir cada uno de los enlaces a cada una de las licitaciones individuales para conocer si se han producido modificaciones.</w:t>
            </w:r>
          </w:p>
        </w:tc>
      </w:tr>
      <w:tr w:rsidR="00037912" w:rsidRPr="00CA6EF0" w:rsidTr="00071029">
        <w:tc>
          <w:tcPr>
            <w:tcW w:w="3227" w:type="dxa"/>
            <w:tcBorders>
              <w:left w:val="single" w:sz="4" w:space="0" w:color="000000" w:themeColor="text1"/>
            </w:tcBorders>
          </w:tcPr>
          <w:p w:rsidR="00037912" w:rsidRDefault="00037912" w:rsidP="00965DCA">
            <w:pPr>
              <w:spacing w:line="312" w:lineRule="auto"/>
              <w:jc w:val="both"/>
              <w:rPr>
                <w:sz w:val="18"/>
                <w:szCs w:val="18"/>
              </w:rPr>
            </w:pPr>
            <w:r>
              <w:rPr>
                <w:sz w:val="18"/>
                <w:szCs w:val="18"/>
              </w:rPr>
              <w:t>Contratos: incluir en las fichas resumen información sobre los desistimientos o renuncias</w:t>
            </w:r>
          </w:p>
        </w:tc>
        <w:tc>
          <w:tcPr>
            <w:tcW w:w="1559" w:type="dxa"/>
          </w:tcPr>
          <w:p w:rsidR="00037912" w:rsidRDefault="00037912" w:rsidP="00965DCA">
            <w:pPr>
              <w:spacing w:line="312" w:lineRule="auto"/>
              <w:jc w:val="both"/>
              <w:rPr>
                <w:sz w:val="18"/>
                <w:szCs w:val="18"/>
              </w:rPr>
            </w:pPr>
            <w:r>
              <w:rPr>
                <w:sz w:val="18"/>
                <w:szCs w:val="18"/>
              </w:rPr>
              <w:t>No</w:t>
            </w:r>
          </w:p>
        </w:tc>
        <w:tc>
          <w:tcPr>
            <w:tcW w:w="5812" w:type="dxa"/>
          </w:tcPr>
          <w:p w:rsidR="00037912" w:rsidRDefault="00037912" w:rsidP="00DB29D9">
            <w:pPr>
              <w:spacing w:line="312" w:lineRule="auto"/>
              <w:jc w:val="both"/>
              <w:rPr>
                <w:sz w:val="18"/>
                <w:szCs w:val="18"/>
              </w:rPr>
            </w:pPr>
            <w:r w:rsidRPr="00037912">
              <w:rPr>
                <w:sz w:val="18"/>
                <w:szCs w:val="18"/>
              </w:rPr>
              <w:t>La ficha mantiene los mismos campos. Por</w:t>
            </w:r>
            <w:r w:rsidR="00B837CC">
              <w:rPr>
                <w:sz w:val="18"/>
                <w:szCs w:val="18"/>
              </w:rPr>
              <w:t xml:space="preserve"> lo que</w:t>
            </w:r>
            <w:r w:rsidRPr="00037912">
              <w:rPr>
                <w:sz w:val="18"/>
                <w:szCs w:val="18"/>
              </w:rPr>
              <w:t xml:space="preserve"> </w:t>
            </w:r>
            <w:r w:rsidR="00B837CC" w:rsidRPr="00B837CC">
              <w:rPr>
                <w:sz w:val="18"/>
                <w:szCs w:val="18"/>
              </w:rPr>
              <w:t>sólo es accesible</w:t>
            </w:r>
            <w:r w:rsidR="00DB29D9">
              <w:rPr>
                <w:sz w:val="18"/>
                <w:szCs w:val="18"/>
              </w:rPr>
              <w:t xml:space="preserve"> esta información </w:t>
            </w:r>
            <w:r w:rsidR="00B837CC" w:rsidRPr="00B837CC">
              <w:rPr>
                <w:sz w:val="18"/>
                <w:szCs w:val="18"/>
              </w:rPr>
              <w:t>a partir de la Plataforma de Contratación del Sector Público</w:t>
            </w:r>
            <w:r w:rsidR="00B837CC">
              <w:rPr>
                <w:sz w:val="18"/>
                <w:szCs w:val="18"/>
              </w:rPr>
              <w:t xml:space="preserve"> que permite la búsqueda de licitaciones utilizando </w:t>
            </w:r>
            <w:r w:rsidR="00DB29D9">
              <w:rPr>
                <w:sz w:val="18"/>
                <w:szCs w:val="18"/>
              </w:rPr>
              <w:t>como</w:t>
            </w:r>
            <w:r w:rsidR="00B837CC">
              <w:rPr>
                <w:sz w:val="18"/>
                <w:szCs w:val="18"/>
              </w:rPr>
              <w:t xml:space="preserve"> criterio </w:t>
            </w:r>
            <w:r w:rsidR="00DB29D9">
              <w:rPr>
                <w:sz w:val="18"/>
                <w:szCs w:val="18"/>
              </w:rPr>
              <w:t xml:space="preserve">de búsqueda los </w:t>
            </w:r>
            <w:r w:rsidR="00B837CC">
              <w:rPr>
                <w:sz w:val="18"/>
                <w:szCs w:val="18"/>
              </w:rPr>
              <w:t>desistimientos.</w:t>
            </w:r>
          </w:p>
        </w:tc>
      </w:tr>
      <w:tr w:rsidR="00B837CC" w:rsidRPr="00CA6EF0" w:rsidTr="00071029">
        <w:tc>
          <w:tcPr>
            <w:tcW w:w="3227" w:type="dxa"/>
            <w:tcBorders>
              <w:left w:val="single" w:sz="4" w:space="0" w:color="000000" w:themeColor="text1"/>
            </w:tcBorders>
          </w:tcPr>
          <w:p w:rsidR="00B837CC" w:rsidRDefault="00B837CC" w:rsidP="00B837CC">
            <w:pPr>
              <w:spacing w:line="312" w:lineRule="auto"/>
              <w:jc w:val="both"/>
              <w:rPr>
                <w:sz w:val="18"/>
                <w:szCs w:val="18"/>
              </w:rPr>
            </w:pPr>
            <w:r>
              <w:rPr>
                <w:sz w:val="18"/>
                <w:szCs w:val="18"/>
              </w:rPr>
              <w:t>Datos estadísticos sobre contratos: actualización</w:t>
            </w:r>
          </w:p>
        </w:tc>
        <w:tc>
          <w:tcPr>
            <w:tcW w:w="1559" w:type="dxa"/>
          </w:tcPr>
          <w:p w:rsidR="00B837CC" w:rsidRDefault="00B837CC" w:rsidP="00965DCA">
            <w:pPr>
              <w:spacing w:line="312" w:lineRule="auto"/>
              <w:jc w:val="both"/>
              <w:rPr>
                <w:sz w:val="18"/>
                <w:szCs w:val="18"/>
              </w:rPr>
            </w:pPr>
            <w:r>
              <w:rPr>
                <w:sz w:val="18"/>
                <w:szCs w:val="18"/>
              </w:rPr>
              <w:t>No</w:t>
            </w:r>
          </w:p>
        </w:tc>
        <w:tc>
          <w:tcPr>
            <w:tcW w:w="5812" w:type="dxa"/>
          </w:tcPr>
          <w:p w:rsidR="00B837CC" w:rsidRPr="00037912" w:rsidRDefault="00B837CC" w:rsidP="00DB29D9">
            <w:pPr>
              <w:spacing w:line="312" w:lineRule="auto"/>
              <w:jc w:val="both"/>
              <w:rPr>
                <w:sz w:val="18"/>
                <w:szCs w:val="18"/>
              </w:rPr>
            </w:pPr>
            <w:r>
              <w:rPr>
                <w:sz w:val="18"/>
                <w:szCs w:val="18"/>
              </w:rPr>
              <w:t xml:space="preserve">Aunque se señala que la información está actualizada a 28/06/2021, la última publicada corresponde a 2019, por esta razón, transcurridos más de 2 años desde su fecha de publicación, se ha considerado no cumplida esta obligación. </w:t>
            </w:r>
          </w:p>
        </w:tc>
      </w:tr>
      <w:tr w:rsidR="00DC64E9" w:rsidRPr="00CA6EF0" w:rsidTr="00071029">
        <w:tc>
          <w:tcPr>
            <w:tcW w:w="3227" w:type="dxa"/>
            <w:tcBorders>
              <w:left w:val="single" w:sz="4" w:space="0" w:color="000000" w:themeColor="text1"/>
            </w:tcBorders>
          </w:tcPr>
          <w:p w:rsidR="00DC64E9" w:rsidRDefault="00B001B2" w:rsidP="00B837CC">
            <w:pPr>
              <w:spacing w:line="312" w:lineRule="auto"/>
              <w:jc w:val="both"/>
              <w:rPr>
                <w:sz w:val="18"/>
                <w:szCs w:val="18"/>
              </w:rPr>
            </w:pPr>
            <w:r>
              <w:rPr>
                <w:sz w:val="18"/>
                <w:szCs w:val="18"/>
              </w:rPr>
              <w:t>Encomiendas de Gestión</w:t>
            </w:r>
            <w:r w:rsidR="00C36AA8">
              <w:rPr>
                <w:sz w:val="18"/>
                <w:szCs w:val="18"/>
              </w:rPr>
              <w:t>: Subcontrataciones</w:t>
            </w:r>
          </w:p>
        </w:tc>
        <w:tc>
          <w:tcPr>
            <w:tcW w:w="1559" w:type="dxa"/>
          </w:tcPr>
          <w:p w:rsidR="00DC64E9" w:rsidRDefault="00B001B2" w:rsidP="00965DCA">
            <w:pPr>
              <w:spacing w:line="312" w:lineRule="auto"/>
              <w:jc w:val="both"/>
              <w:rPr>
                <w:sz w:val="18"/>
                <w:szCs w:val="18"/>
              </w:rPr>
            </w:pPr>
            <w:r>
              <w:rPr>
                <w:sz w:val="18"/>
                <w:szCs w:val="18"/>
              </w:rPr>
              <w:t>No</w:t>
            </w:r>
          </w:p>
        </w:tc>
        <w:tc>
          <w:tcPr>
            <w:tcW w:w="5812" w:type="dxa"/>
          </w:tcPr>
          <w:p w:rsidR="00DC64E9" w:rsidRDefault="00B001B2" w:rsidP="00DB29D9">
            <w:pPr>
              <w:spacing w:line="312" w:lineRule="auto"/>
              <w:jc w:val="both"/>
              <w:rPr>
                <w:sz w:val="18"/>
                <w:szCs w:val="18"/>
              </w:rPr>
            </w:pPr>
            <w:r>
              <w:rPr>
                <w:sz w:val="18"/>
                <w:szCs w:val="18"/>
              </w:rPr>
              <w:t>La ficha resumen sigue sin incluir información sobre las subcontrataciones lo que obliga a abrir cada uno de los documentos para comprobar si existen.</w:t>
            </w:r>
          </w:p>
        </w:tc>
      </w:tr>
      <w:tr w:rsidR="00B001B2" w:rsidRPr="00CA6EF0" w:rsidTr="00071029">
        <w:tc>
          <w:tcPr>
            <w:tcW w:w="3227" w:type="dxa"/>
            <w:tcBorders>
              <w:left w:val="single" w:sz="4" w:space="0" w:color="000000" w:themeColor="text1"/>
            </w:tcBorders>
          </w:tcPr>
          <w:p w:rsidR="00B001B2" w:rsidRDefault="00B001B2" w:rsidP="00B837CC">
            <w:pPr>
              <w:spacing w:line="312" w:lineRule="auto"/>
              <w:jc w:val="both"/>
              <w:rPr>
                <w:sz w:val="18"/>
                <w:szCs w:val="18"/>
              </w:rPr>
            </w:pPr>
            <w:r>
              <w:rPr>
                <w:sz w:val="18"/>
                <w:szCs w:val="18"/>
              </w:rPr>
              <w:t>Información estadística sobre cumplimiento y calidad de los servicios</w:t>
            </w:r>
          </w:p>
        </w:tc>
        <w:tc>
          <w:tcPr>
            <w:tcW w:w="1559" w:type="dxa"/>
          </w:tcPr>
          <w:p w:rsidR="00B001B2" w:rsidRDefault="00B1646A" w:rsidP="00965DCA">
            <w:pPr>
              <w:spacing w:line="312" w:lineRule="auto"/>
              <w:jc w:val="both"/>
              <w:rPr>
                <w:sz w:val="18"/>
                <w:szCs w:val="18"/>
              </w:rPr>
            </w:pPr>
            <w:r>
              <w:rPr>
                <w:sz w:val="18"/>
                <w:szCs w:val="18"/>
              </w:rPr>
              <w:t>No</w:t>
            </w:r>
          </w:p>
        </w:tc>
        <w:tc>
          <w:tcPr>
            <w:tcW w:w="5812" w:type="dxa"/>
          </w:tcPr>
          <w:p w:rsidR="00B1646A" w:rsidRDefault="00B1646A" w:rsidP="00D13E70">
            <w:pPr>
              <w:spacing w:line="312" w:lineRule="auto"/>
              <w:jc w:val="both"/>
              <w:rPr>
                <w:sz w:val="18"/>
                <w:szCs w:val="18"/>
              </w:rPr>
            </w:pPr>
            <w:r>
              <w:rPr>
                <w:sz w:val="18"/>
                <w:szCs w:val="18"/>
              </w:rPr>
              <w:t>No se publica información de los Ministerios de Asuntos Eco</w:t>
            </w:r>
            <w:r w:rsidR="008408A7">
              <w:rPr>
                <w:sz w:val="18"/>
                <w:szCs w:val="18"/>
              </w:rPr>
              <w:t>nómicos y Transformación Digital</w:t>
            </w:r>
            <w:r>
              <w:rPr>
                <w:sz w:val="18"/>
                <w:szCs w:val="18"/>
              </w:rPr>
              <w:t xml:space="preserve">, Consumo y Derechos Sociales, aunque se han localizado 39 registros </w:t>
            </w:r>
            <w:r w:rsidRPr="00B1646A">
              <w:rPr>
                <w:sz w:val="18"/>
                <w:szCs w:val="18"/>
              </w:rPr>
              <w:t>entre la información correspondiente al Ministerio de Sanidad</w:t>
            </w:r>
            <w:r>
              <w:rPr>
                <w:sz w:val="18"/>
                <w:szCs w:val="18"/>
              </w:rPr>
              <w:t>.</w:t>
            </w:r>
          </w:p>
          <w:p w:rsidR="00B1646A" w:rsidRDefault="00B1646A" w:rsidP="00D13E70">
            <w:pPr>
              <w:spacing w:line="312" w:lineRule="auto"/>
              <w:jc w:val="both"/>
              <w:rPr>
                <w:sz w:val="18"/>
                <w:szCs w:val="18"/>
              </w:rPr>
            </w:pPr>
          </w:p>
          <w:p w:rsidR="00B001B2" w:rsidRDefault="00B001B2" w:rsidP="00D13E70">
            <w:pPr>
              <w:spacing w:line="312" w:lineRule="auto"/>
              <w:jc w:val="both"/>
              <w:rPr>
                <w:sz w:val="18"/>
                <w:szCs w:val="18"/>
              </w:rPr>
            </w:pPr>
            <w:r>
              <w:rPr>
                <w:sz w:val="18"/>
                <w:szCs w:val="18"/>
              </w:rPr>
              <w:t xml:space="preserve">De los 421 registros que contiene el apartado </w:t>
            </w:r>
            <w:r w:rsidR="007C238C">
              <w:rPr>
                <w:sz w:val="18"/>
                <w:szCs w:val="18"/>
              </w:rPr>
              <w:t>Informes</w:t>
            </w:r>
            <w:r>
              <w:rPr>
                <w:sz w:val="18"/>
                <w:szCs w:val="18"/>
              </w:rPr>
              <w:t xml:space="preserve"> y Estadísticas </w:t>
            </w:r>
            <w:r w:rsidR="00D13E70">
              <w:rPr>
                <w:sz w:val="18"/>
                <w:szCs w:val="18"/>
              </w:rPr>
              <w:t>200</w:t>
            </w:r>
            <w:r w:rsidR="002911DB">
              <w:rPr>
                <w:sz w:val="18"/>
                <w:szCs w:val="18"/>
              </w:rPr>
              <w:t xml:space="preserve"> corresponden a </w:t>
            </w:r>
            <w:r w:rsidR="00D13E70">
              <w:rPr>
                <w:sz w:val="18"/>
                <w:szCs w:val="18"/>
              </w:rPr>
              <w:t xml:space="preserve">contenidos relacionados información estadística sobre el cumplimiento de los servicios. De ellos 105 contienen información no </w:t>
            </w:r>
            <w:r w:rsidR="00BD6FE1">
              <w:rPr>
                <w:sz w:val="18"/>
                <w:szCs w:val="18"/>
              </w:rPr>
              <w:t xml:space="preserve">vigente </w:t>
            </w:r>
            <w:r w:rsidR="00D13E70">
              <w:rPr>
                <w:sz w:val="18"/>
                <w:szCs w:val="18"/>
              </w:rPr>
              <w:t xml:space="preserve">y no se ha podido comprobar el contenido de 78 enlaces que estaban rotos. En resumen  del total de registros analizados solo 52 contienen información vigente </w:t>
            </w:r>
            <w:r w:rsidR="00C36AA8">
              <w:rPr>
                <w:sz w:val="18"/>
                <w:szCs w:val="18"/>
              </w:rPr>
              <w:t>l</w:t>
            </w:r>
            <w:r w:rsidR="00D13E70">
              <w:rPr>
                <w:sz w:val="18"/>
                <w:szCs w:val="18"/>
              </w:rPr>
              <w:t xml:space="preserve">o que supone un </w:t>
            </w:r>
            <w:r w:rsidR="00B1646A">
              <w:rPr>
                <w:sz w:val="18"/>
                <w:szCs w:val="18"/>
              </w:rPr>
              <w:t>12,4</w:t>
            </w:r>
            <w:r w:rsidR="00D13E70">
              <w:rPr>
                <w:sz w:val="18"/>
                <w:szCs w:val="18"/>
              </w:rPr>
              <w:t xml:space="preserve">%. </w:t>
            </w:r>
          </w:p>
          <w:p w:rsidR="00D13E70" w:rsidRDefault="00D13E70" w:rsidP="00D13E70">
            <w:pPr>
              <w:spacing w:line="312" w:lineRule="auto"/>
              <w:jc w:val="both"/>
              <w:rPr>
                <w:sz w:val="18"/>
                <w:szCs w:val="18"/>
              </w:rPr>
            </w:pPr>
          </w:p>
          <w:p w:rsidR="00D13E70" w:rsidRDefault="00B1646A" w:rsidP="00355B5E">
            <w:pPr>
              <w:spacing w:line="312" w:lineRule="auto"/>
              <w:jc w:val="both"/>
              <w:rPr>
                <w:sz w:val="18"/>
                <w:szCs w:val="18"/>
              </w:rPr>
            </w:pPr>
            <w:r>
              <w:rPr>
                <w:sz w:val="18"/>
                <w:szCs w:val="18"/>
              </w:rPr>
              <w:t>Respecto de la información relativa a la Calidad de los Servicios, se publican las Cartas de Servicios pero no los informes de evaluación del grado de cumplimiento de sus compromisos. Por otra parte, sigue ofreciéndose información sobre los Programas del Marco General de Cal</w:t>
            </w:r>
            <w:r w:rsidR="008408A7">
              <w:rPr>
                <w:sz w:val="18"/>
                <w:szCs w:val="18"/>
              </w:rPr>
              <w:t xml:space="preserve">idad para el conjunto de la AGE, pero no información individualizada para cada Ministerio del grado de implantación y resultados de estos programas. Como se indicaba en 2021 esta información está disponible en cada uno de los Ministerios </w:t>
            </w:r>
            <w:r w:rsidR="00355B5E">
              <w:rPr>
                <w:sz w:val="18"/>
                <w:szCs w:val="18"/>
              </w:rPr>
              <w:t>ya que a partir de ella se confeccionan los informes ISAM  que si son accesibles desde el Portal.</w:t>
            </w:r>
            <w:r w:rsidR="008408A7">
              <w:rPr>
                <w:sz w:val="18"/>
                <w:szCs w:val="18"/>
              </w:rPr>
              <w:t xml:space="preserve"> </w:t>
            </w:r>
          </w:p>
        </w:tc>
      </w:tr>
      <w:tr w:rsidR="00EB58CE" w:rsidRPr="00CA6EF0" w:rsidTr="00071029">
        <w:tc>
          <w:tcPr>
            <w:tcW w:w="3227" w:type="dxa"/>
            <w:tcBorders>
              <w:left w:val="single" w:sz="4" w:space="0" w:color="000000" w:themeColor="text1"/>
            </w:tcBorders>
          </w:tcPr>
          <w:p w:rsidR="00EB58CE" w:rsidRDefault="00EB58CE" w:rsidP="00EB58CE">
            <w:pPr>
              <w:spacing w:line="312" w:lineRule="auto"/>
              <w:jc w:val="both"/>
              <w:rPr>
                <w:sz w:val="18"/>
                <w:szCs w:val="18"/>
              </w:rPr>
            </w:pPr>
            <w:r>
              <w:rPr>
                <w:sz w:val="18"/>
                <w:szCs w:val="18"/>
              </w:rPr>
              <w:t xml:space="preserve">Información Patrimonial </w:t>
            </w:r>
          </w:p>
        </w:tc>
        <w:tc>
          <w:tcPr>
            <w:tcW w:w="1559" w:type="dxa"/>
          </w:tcPr>
          <w:p w:rsidR="00EB58CE" w:rsidRDefault="00EB58CE" w:rsidP="00965DCA">
            <w:pPr>
              <w:spacing w:line="312" w:lineRule="auto"/>
              <w:jc w:val="both"/>
              <w:rPr>
                <w:sz w:val="18"/>
                <w:szCs w:val="18"/>
              </w:rPr>
            </w:pPr>
            <w:r>
              <w:rPr>
                <w:sz w:val="18"/>
                <w:szCs w:val="18"/>
              </w:rPr>
              <w:t>No</w:t>
            </w:r>
          </w:p>
        </w:tc>
        <w:tc>
          <w:tcPr>
            <w:tcW w:w="5812" w:type="dxa"/>
          </w:tcPr>
          <w:p w:rsidR="00355B5E" w:rsidRDefault="00355B5E" w:rsidP="00D13E70">
            <w:pPr>
              <w:spacing w:line="312" w:lineRule="auto"/>
              <w:jc w:val="both"/>
              <w:rPr>
                <w:sz w:val="18"/>
                <w:szCs w:val="18"/>
              </w:rPr>
            </w:pPr>
            <w:r>
              <w:rPr>
                <w:sz w:val="18"/>
                <w:szCs w:val="18"/>
              </w:rPr>
              <w:t>En el fichero Excel que contiene esta información no se identifica el Ministerio al que está adscrito el inmueble.</w:t>
            </w:r>
          </w:p>
          <w:p w:rsidR="00355B5E" w:rsidRDefault="00355B5E" w:rsidP="00355B5E">
            <w:pPr>
              <w:spacing w:line="312" w:lineRule="auto"/>
              <w:jc w:val="both"/>
              <w:rPr>
                <w:sz w:val="18"/>
                <w:szCs w:val="18"/>
              </w:rPr>
            </w:pPr>
            <w:r>
              <w:rPr>
                <w:sz w:val="18"/>
                <w:szCs w:val="18"/>
              </w:rPr>
              <w:t xml:space="preserve">Al realizar la búsqueda Ministerio a Ministerio, todos los enlaces abren páginas en las que se indica que no han obtenido </w:t>
            </w:r>
            <w:r>
              <w:rPr>
                <w:sz w:val="18"/>
                <w:szCs w:val="18"/>
              </w:rPr>
              <w:lastRenderedPageBreak/>
              <w:t xml:space="preserve">resultados para la búsqueda </w:t>
            </w:r>
          </w:p>
        </w:tc>
      </w:tr>
      <w:tr w:rsidR="009304AD" w:rsidRPr="00CA6EF0" w:rsidTr="00670945">
        <w:tc>
          <w:tcPr>
            <w:tcW w:w="4786" w:type="dxa"/>
            <w:gridSpan w:val="2"/>
            <w:tcBorders>
              <w:left w:val="single" w:sz="4" w:space="0" w:color="000000" w:themeColor="text1"/>
            </w:tcBorders>
          </w:tcPr>
          <w:p w:rsidR="009304AD" w:rsidRPr="009304AD" w:rsidRDefault="009304AD" w:rsidP="009304AD">
            <w:pPr>
              <w:spacing w:line="312" w:lineRule="auto"/>
              <w:jc w:val="right"/>
              <w:rPr>
                <w:b/>
                <w:sz w:val="18"/>
                <w:szCs w:val="18"/>
              </w:rPr>
            </w:pPr>
            <w:r w:rsidRPr="009304AD">
              <w:rPr>
                <w:b/>
                <w:sz w:val="18"/>
                <w:szCs w:val="18"/>
              </w:rPr>
              <w:lastRenderedPageBreak/>
              <w:t>Total Recomendaciones</w:t>
            </w:r>
          </w:p>
        </w:tc>
        <w:tc>
          <w:tcPr>
            <w:tcW w:w="5812" w:type="dxa"/>
          </w:tcPr>
          <w:p w:rsidR="009304AD" w:rsidRPr="009304AD" w:rsidRDefault="009304AD" w:rsidP="00D13E70">
            <w:pPr>
              <w:spacing w:line="312" w:lineRule="auto"/>
              <w:jc w:val="both"/>
              <w:rPr>
                <w:b/>
                <w:sz w:val="18"/>
                <w:szCs w:val="18"/>
              </w:rPr>
            </w:pPr>
            <w:r>
              <w:rPr>
                <w:b/>
                <w:sz w:val="18"/>
                <w:szCs w:val="18"/>
              </w:rPr>
              <w:t>15</w:t>
            </w:r>
          </w:p>
        </w:tc>
      </w:tr>
    </w:tbl>
    <w:p w:rsidR="008926B8" w:rsidRPr="00AC3A3A" w:rsidRDefault="008926B8" w:rsidP="00E36CE0">
      <w:pPr>
        <w:spacing w:before="120" w:after="120" w:line="312" w:lineRule="auto"/>
        <w:jc w:val="both"/>
        <w:rPr>
          <w:b/>
          <w:i/>
        </w:rPr>
      </w:pPr>
    </w:p>
    <w:p w:rsidR="008926B8" w:rsidRDefault="008926B8" w:rsidP="00E36CE0">
      <w:pPr>
        <w:spacing w:before="120" w:after="120" w:line="312" w:lineRule="auto"/>
        <w:jc w:val="both"/>
      </w:pPr>
    </w:p>
    <w:p w:rsidR="009304AD" w:rsidRDefault="009304AD" w:rsidP="009304AD">
      <w:pPr>
        <w:pStyle w:val="Ttulo2"/>
      </w:pPr>
      <w:r>
        <w:t>I.3. Cumplimiento de los atributos de calidad de la información publicada</w:t>
      </w:r>
    </w:p>
    <w:p w:rsidR="008926B8" w:rsidRDefault="008926B8" w:rsidP="00E36CE0">
      <w:pPr>
        <w:spacing w:before="120" w:after="120" w:line="312" w:lineRule="auto"/>
        <w:jc w:val="both"/>
      </w:pPr>
    </w:p>
    <w:tbl>
      <w:tblPr>
        <w:tblStyle w:val="Tablaconcuadrcula"/>
        <w:tblW w:w="0" w:type="auto"/>
        <w:tblLayout w:type="fixed"/>
        <w:tblLook w:val="04A0" w:firstRow="1" w:lastRow="0" w:firstColumn="1" w:lastColumn="0" w:noHBand="0" w:noVBand="1"/>
      </w:tblPr>
      <w:tblGrid>
        <w:gridCol w:w="3227"/>
        <w:gridCol w:w="1559"/>
        <w:gridCol w:w="5812"/>
      </w:tblGrid>
      <w:tr w:rsidR="00670945" w:rsidRPr="00CA6EF0" w:rsidTr="00670945">
        <w:tc>
          <w:tcPr>
            <w:tcW w:w="3227" w:type="dxa"/>
            <w:tcBorders>
              <w:top w:val="nil"/>
              <w:left w:val="single" w:sz="4" w:space="0" w:color="000000" w:themeColor="text1"/>
              <w:bottom w:val="single" w:sz="4" w:space="0" w:color="000000" w:themeColor="text1"/>
              <w:right w:val="single" w:sz="4" w:space="0" w:color="FFFFFF" w:themeColor="background1"/>
            </w:tcBorders>
            <w:shd w:val="clear" w:color="auto" w:fill="4D7F52"/>
          </w:tcPr>
          <w:p w:rsidR="00670945" w:rsidRPr="00CA6EF0" w:rsidRDefault="00670945" w:rsidP="00670945">
            <w:pPr>
              <w:spacing w:line="312" w:lineRule="auto"/>
              <w:jc w:val="both"/>
              <w:rPr>
                <w:b/>
                <w:color w:val="FFFFFF" w:themeColor="background1"/>
                <w:sz w:val="18"/>
                <w:szCs w:val="18"/>
              </w:rPr>
            </w:pPr>
            <w:r>
              <w:rPr>
                <w:b/>
                <w:color w:val="FFFFFF" w:themeColor="background1"/>
                <w:sz w:val="18"/>
                <w:szCs w:val="18"/>
              </w:rPr>
              <w:t>Contenidos</w:t>
            </w:r>
          </w:p>
        </w:tc>
        <w:tc>
          <w:tcPr>
            <w:tcW w:w="1559" w:type="dxa"/>
            <w:tcBorders>
              <w:top w:val="nil"/>
              <w:left w:val="single" w:sz="4" w:space="0" w:color="FFFFFF" w:themeColor="background1"/>
              <w:bottom w:val="single" w:sz="4" w:space="0" w:color="000000" w:themeColor="text1"/>
              <w:right w:val="single" w:sz="4" w:space="0" w:color="FFFFFF" w:themeColor="background1"/>
            </w:tcBorders>
            <w:shd w:val="clear" w:color="auto" w:fill="4D7F52"/>
          </w:tcPr>
          <w:p w:rsidR="00670945" w:rsidRPr="00CA6EF0" w:rsidRDefault="00670945" w:rsidP="00670945">
            <w:pPr>
              <w:spacing w:line="312" w:lineRule="auto"/>
              <w:jc w:val="both"/>
              <w:rPr>
                <w:b/>
                <w:color w:val="FFFFFF" w:themeColor="background1"/>
                <w:sz w:val="18"/>
                <w:szCs w:val="18"/>
              </w:rPr>
            </w:pPr>
            <w:r>
              <w:rPr>
                <w:b/>
                <w:color w:val="FFFFFF" w:themeColor="background1"/>
                <w:sz w:val="18"/>
                <w:szCs w:val="18"/>
              </w:rPr>
              <w:t>Aplicada</w:t>
            </w:r>
          </w:p>
        </w:tc>
        <w:tc>
          <w:tcPr>
            <w:tcW w:w="5812" w:type="dxa"/>
            <w:tcBorders>
              <w:top w:val="nil"/>
              <w:left w:val="single" w:sz="4" w:space="0" w:color="FFFFFF" w:themeColor="background1"/>
              <w:bottom w:val="single" w:sz="4" w:space="0" w:color="000000" w:themeColor="text1"/>
              <w:right w:val="nil"/>
            </w:tcBorders>
            <w:shd w:val="clear" w:color="auto" w:fill="4D7F52"/>
          </w:tcPr>
          <w:p w:rsidR="00670945" w:rsidRPr="00CA6EF0" w:rsidRDefault="00670945" w:rsidP="00670945">
            <w:pPr>
              <w:spacing w:line="312" w:lineRule="auto"/>
              <w:jc w:val="center"/>
              <w:rPr>
                <w:b/>
                <w:color w:val="FFFFFF" w:themeColor="background1"/>
                <w:sz w:val="18"/>
                <w:szCs w:val="18"/>
              </w:rPr>
            </w:pPr>
            <w:r w:rsidRPr="00CA6EF0">
              <w:rPr>
                <w:b/>
                <w:color w:val="FFFFFF" w:themeColor="background1"/>
                <w:sz w:val="18"/>
                <w:szCs w:val="18"/>
              </w:rPr>
              <w:t>Revisión</w:t>
            </w:r>
          </w:p>
        </w:tc>
      </w:tr>
      <w:tr w:rsidR="00670945" w:rsidRPr="00CA6EF0" w:rsidTr="00670945">
        <w:tc>
          <w:tcPr>
            <w:tcW w:w="3227" w:type="dxa"/>
            <w:tcBorders>
              <w:left w:val="single" w:sz="4" w:space="0" w:color="000000" w:themeColor="text1"/>
              <w:bottom w:val="single" w:sz="4" w:space="0" w:color="000000" w:themeColor="text1"/>
            </w:tcBorders>
          </w:tcPr>
          <w:p w:rsidR="00670945" w:rsidRPr="00CA6EF0" w:rsidRDefault="00670945" w:rsidP="00670945">
            <w:pPr>
              <w:spacing w:line="312" w:lineRule="auto"/>
              <w:jc w:val="both"/>
              <w:rPr>
                <w:sz w:val="18"/>
                <w:szCs w:val="18"/>
              </w:rPr>
            </w:pPr>
            <w:r>
              <w:rPr>
                <w:sz w:val="18"/>
                <w:szCs w:val="18"/>
              </w:rPr>
              <w:t>Revisar</w:t>
            </w:r>
            <w:r w:rsidRPr="00670945">
              <w:rPr>
                <w:sz w:val="18"/>
                <w:szCs w:val="18"/>
              </w:rPr>
              <w:t xml:space="preserve"> la vinculación de información a Ministerios extintos que puede dificultar su comprensión y búsqueda</w:t>
            </w:r>
          </w:p>
        </w:tc>
        <w:tc>
          <w:tcPr>
            <w:tcW w:w="1559" w:type="dxa"/>
          </w:tcPr>
          <w:p w:rsidR="00670945" w:rsidRPr="00CA6EF0" w:rsidRDefault="00670945" w:rsidP="00670945">
            <w:pPr>
              <w:spacing w:line="312" w:lineRule="auto"/>
              <w:jc w:val="both"/>
              <w:rPr>
                <w:sz w:val="18"/>
                <w:szCs w:val="18"/>
              </w:rPr>
            </w:pPr>
            <w:r>
              <w:rPr>
                <w:sz w:val="18"/>
                <w:szCs w:val="18"/>
              </w:rPr>
              <w:t>No</w:t>
            </w:r>
          </w:p>
        </w:tc>
        <w:tc>
          <w:tcPr>
            <w:tcW w:w="5812" w:type="dxa"/>
          </w:tcPr>
          <w:p w:rsidR="00670945" w:rsidRPr="00CA6EF0" w:rsidRDefault="00670945" w:rsidP="0046042D">
            <w:pPr>
              <w:spacing w:line="312" w:lineRule="auto"/>
              <w:jc w:val="both"/>
              <w:rPr>
                <w:sz w:val="18"/>
                <w:szCs w:val="18"/>
              </w:rPr>
            </w:pPr>
            <w:r>
              <w:rPr>
                <w:sz w:val="18"/>
                <w:szCs w:val="18"/>
              </w:rPr>
              <w:t xml:space="preserve">Todavía sigue publicándose información </w:t>
            </w:r>
            <w:r w:rsidR="0046042D">
              <w:rPr>
                <w:sz w:val="18"/>
                <w:szCs w:val="18"/>
              </w:rPr>
              <w:t xml:space="preserve">correspondiente a 2022 </w:t>
            </w:r>
            <w:r>
              <w:rPr>
                <w:sz w:val="18"/>
                <w:szCs w:val="18"/>
              </w:rPr>
              <w:t xml:space="preserve">vinculada a la denominación del Ministerio anterior a la remodelación de 2021 e incluso correspondiente a la estructura del Gobierno en 2018. </w:t>
            </w:r>
          </w:p>
        </w:tc>
      </w:tr>
      <w:tr w:rsidR="00670945" w:rsidRPr="00CA6EF0" w:rsidTr="00670945">
        <w:tc>
          <w:tcPr>
            <w:tcW w:w="3227" w:type="dxa"/>
            <w:tcBorders>
              <w:left w:val="single" w:sz="4" w:space="0" w:color="000000" w:themeColor="text1"/>
            </w:tcBorders>
          </w:tcPr>
          <w:p w:rsidR="00670945" w:rsidRPr="00CA6EF0" w:rsidRDefault="0046042D" w:rsidP="00670945">
            <w:pPr>
              <w:spacing w:line="312" w:lineRule="auto"/>
              <w:jc w:val="both"/>
              <w:rPr>
                <w:sz w:val="18"/>
                <w:szCs w:val="18"/>
              </w:rPr>
            </w:pPr>
            <w:r>
              <w:rPr>
                <w:sz w:val="18"/>
                <w:szCs w:val="18"/>
              </w:rPr>
              <w:t>Revisar la publicación de contenidos que han perdido vigencia</w:t>
            </w:r>
          </w:p>
        </w:tc>
        <w:tc>
          <w:tcPr>
            <w:tcW w:w="1559" w:type="dxa"/>
          </w:tcPr>
          <w:p w:rsidR="00670945" w:rsidRPr="00CA6EF0" w:rsidRDefault="00670945" w:rsidP="00670945">
            <w:pPr>
              <w:spacing w:line="312" w:lineRule="auto"/>
              <w:jc w:val="both"/>
              <w:rPr>
                <w:sz w:val="18"/>
                <w:szCs w:val="18"/>
              </w:rPr>
            </w:pPr>
            <w:r>
              <w:rPr>
                <w:sz w:val="18"/>
                <w:szCs w:val="18"/>
              </w:rPr>
              <w:t>No</w:t>
            </w:r>
          </w:p>
        </w:tc>
        <w:tc>
          <w:tcPr>
            <w:tcW w:w="5812" w:type="dxa"/>
          </w:tcPr>
          <w:p w:rsidR="0046042D" w:rsidRDefault="0046042D" w:rsidP="0046042D">
            <w:pPr>
              <w:spacing w:line="312" w:lineRule="auto"/>
              <w:jc w:val="both"/>
              <w:rPr>
                <w:sz w:val="18"/>
                <w:szCs w:val="18"/>
              </w:rPr>
            </w:pPr>
            <w:r>
              <w:rPr>
                <w:sz w:val="18"/>
                <w:szCs w:val="18"/>
              </w:rPr>
              <w:t>Sigue publicándose información obsoleta, Por ejemplo:</w:t>
            </w:r>
          </w:p>
          <w:p w:rsidR="00670945" w:rsidRDefault="0046042D" w:rsidP="0046042D">
            <w:pPr>
              <w:spacing w:line="312" w:lineRule="auto"/>
              <w:jc w:val="both"/>
              <w:rPr>
                <w:sz w:val="18"/>
                <w:szCs w:val="18"/>
              </w:rPr>
            </w:pPr>
            <w:r w:rsidRPr="0046042D">
              <w:rPr>
                <w:sz w:val="18"/>
                <w:szCs w:val="18"/>
              </w:rPr>
              <w:t>-</w:t>
            </w:r>
            <w:r>
              <w:rPr>
                <w:sz w:val="18"/>
                <w:szCs w:val="18"/>
              </w:rPr>
              <w:t xml:space="preserve"> El 61,9% de los registros correspondientes a planes y programas.</w:t>
            </w:r>
          </w:p>
          <w:p w:rsidR="0046042D" w:rsidRDefault="0046042D" w:rsidP="0046042D">
            <w:pPr>
              <w:spacing w:line="312" w:lineRule="auto"/>
              <w:jc w:val="both"/>
              <w:rPr>
                <w:sz w:val="18"/>
                <w:szCs w:val="18"/>
              </w:rPr>
            </w:pPr>
            <w:r>
              <w:rPr>
                <w:sz w:val="18"/>
                <w:szCs w:val="18"/>
              </w:rPr>
              <w:t>-  El 73,2% de la información contenida en el apartado Informes y Estadísticas.</w:t>
            </w:r>
          </w:p>
          <w:p w:rsidR="0046042D" w:rsidRDefault="0046042D" w:rsidP="0046042D">
            <w:pPr>
              <w:spacing w:line="312" w:lineRule="auto"/>
              <w:jc w:val="both"/>
              <w:rPr>
                <w:sz w:val="18"/>
                <w:szCs w:val="18"/>
              </w:rPr>
            </w:pPr>
            <w:r>
              <w:rPr>
                <w:sz w:val="18"/>
                <w:szCs w:val="18"/>
              </w:rPr>
              <w:t xml:space="preserve">- En el caso de los contratos de 458.372 registros sólo 126.537 – el 27,6% - se corresponde con contratos correspondientes a los años 2020, 2021 y 2022. </w:t>
            </w:r>
          </w:p>
          <w:p w:rsidR="004A0488" w:rsidRPr="0046042D" w:rsidRDefault="004A0488" w:rsidP="00C36AA8">
            <w:pPr>
              <w:spacing w:line="312" w:lineRule="auto"/>
              <w:jc w:val="both"/>
              <w:rPr>
                <w:sz w:val="18"/>
                <w:szCs w:val="18"/>
              </w:rPr>
            </w:pPr>
            <w:r>
              <w:rPr>
                <w:sz w:val="18"/>
                <w:szCs w:val="18"/>
              </w:rPr>
              <w:t xml:space="preserve">En algunos apartados se indica que se publica información desde 2014. </w:t>
            </w:r>
          </w:p>
        </w:tc>
      </w:tr>
      <w:tr w:rsidR="00670945" w:rsidRPr="00CA6EF0" w:rsidTr="00670945">
        <w:tc>
          <w:tcPr>
            <w:tcW w:w="3227" w:type="dxa"/>
            <w:tcBorders>
              <w:left w:val="single" w:sz="4" w:space="0" w:color="000000" w:themeColor="text1"/>
            </w:tcBorders>
          </w:tcPr>
          <w:p w:rsidR="00670945" w:rsidRPr="00CA6EF0" w:rsidRDefault="00670945" w:rsidP="00670945">
            <w:pPr>
              <w:spacing w:line="312" w:lineRule="auto"/>
              <w:jc w:val="both"/>
              <w:rPr>
                <w:sz w:val="18"/>
                <w:szCs w:val="18"/>
              </w:rPr>
            </w:pPr>
            <w:r w:rsidRPr="00670945">
              <w:rPr>
                <w:sz w:val="18"/>
                <w:szCs w:val="18"/>
              </w:rPr>
              <w:t>Generalización de la inclusión de</w:t>
            </w:r>
            <w:r w:rsidR="008A5FE8">
              <w:rPr>
                <w:sz w:val="18"/>
                <w:szCs w:val="18"/>
              </w:rPr>
              <w:t xml:space="preserve"> referencias a las fechas en que se revisó o actualizó la información</w:t>
            </w:r>
          </w:p>
        </w:tc>
        <w:tc>
          <w:tcPr>
            <w:tcW w:w="1559" w:type="dxa"/>
          </w:tcPr>
          <w:p w:rsidR="00670945" w:rsidRPr="00CA6EF0" w:rsidRDefault="008A5FE8" w:rsidP="00670945">
            <w:pPr>
              <w:spacing w:line="312" w:lineRule="auto"/>
              <w:jc w:val="both"/>
              <w:rPr>
                <w:sz w:val="18"/>
                <w:szCs w:val="18"/>
              </w:rPr>
            </w:pPr>
            <w:r>
              <w:rPr>
                <w:sz w:val="18"/>
                <w:szCs w:val="18"/>
              </w:rPr>
              <w:t>No</w:t>
            </w:r>
          </w:p>
        </w:tc>
        <w:tc>
          <w:tcPr>
            <w:tcW w:w="5812" w:type="dxa"/>
          </w:tcPr>
          <w:p w:rsidR="00670945" w:rsidRDefault="008A5FE8" w:rsidP="008A5FE8">
            <w:pPr>
              <w:spacing w:line="312" w:lineRule="auto"/>
              <w:jc w:val="both"/>
              <w:rPr>
                <w:sz w:val="18"/>
                <w:szCs w:val="18"/>
              </w:rPr>
            </w:pPr>
            <w:r w:rsidRPr="008A5FE8">
              <w:rPr>
                <w:sz w:val="18"/>
                <w:szCs w:val="18"/>
              </w:rPr>
              <w:t>-</w:t>
            </w:r>
            <w:r>
              <w:rPr>
                <w:sz w:val="18"/>
                <w:szCs w:val="18"/>
              </w:rPr>
              <w:t xml:space="preserve"> </w:t>
            </w:r>
            <w:r w:rsidRPr="008A5FE8">
              <w:rPr>
                <w:sz w:val="18"/>
                <w:szCs w:val="18"/>
              </w:rPr>
              <w:t xml:space="preserve">No incluyen referencias </w:t>
            </w:r>
            <w:r>
              <w:rPr>
                <w:sz w:val="18"/>
                <w:szCs w:val="18"/>
              </w:rPr>
              <w:t>a la última revisión o actualización: Funciones, Normativa aplicable, Perfil y Trayectoria Profesional, Planes y Programas, Seguimiento y Evaluación de Planes y Programa</w:t>
            </w:r>
            <w:r w:rsidR="00C36AA8">
              <w:rPr>
                <w:sz w:val="18"/>
                <w:szCs w:val="18"/>
              </w:rPr>
              <w:t>s, Directrices e Instrucciones.</w:t>
            </w:r>
          </w:p>
          <w:p w:rsidR="008A5FE8" w:rsidRPr="008A5FE8" w:rsidRDefault="008A5FE8" w:rsidP="004A0488">
            <w:pPr>
              <w:spacing w:line="312" w:lineRule="auto"/>
              <w:jc w:val="both"/>
              <w:rPr>
                <w:sz w:val="18"/>
                <w:szCs w:val="18"/>
              </w:rPr>
            </w:pPr>
            <w:r>
              <w:rPr>
                <w:sz w:val="18"/>
                <w:szCs w:val="18"/>
              </w:rPr>
              <w:t>- La fecha de actualización o revisión está desfasada: Registro de Actividades de Tratamiento (03/2020),</w:t>
            </w:r>
            <w:r w:rsidR="004A0488">
              <w:rPr>
                <w:sz w:val="18"/>
                <w:szCs w:val="18"/>
              </w:rPr>
              <w:t xml:space="preserve"> Retribuciones (01/2021, se indica que la información se actualiza a ejercicio vencido), Bienes inmuebles (la más reciente 01/2021)</w:t>
            </w:r>
          </w:p>
        </w:tc>
      </w:tr>
      <w:tr w:rsidR="00670945" w:rsidRPr="00CA6EF0" w:rsidTr="00670945">
        <w:tc>
          <w:tcPr>
            <w:tcW w:w="3227" w:type="dxa"/>
            <w:tcBorders>
              <w:left w:val="single" w:sz="4" w:space="0" w:color="000000" w:themeColor="text1"/>
            </w:tcBorders>
          </w:tcPr>
          <w:p w:rsidR="00670945" w:rsidRPr="00CA6EF0" w:rsidRDefault="004A0488" w:rsidP="00670945">
            <w:pPr>
              <w:spacing w:line="312" w:lineRule="auto"/>
              <w:jc w:val="both"/>
              <w:rPr>
                <w:sz w:val="18"/>
                <w:szCs w:val="18"/>
              </w:rPr>
            </w:pPr>
            <w:r>
              <w:rPr>
                <w:sz w:val="18"/>
                <w:szCs w:val="18"/>
              </w:rPr>
              <w:t>Recurso a fuentes centralizadas para la publicación de algunas informaciones del bloque Económica, Presupuestaria y Estadística</w:t>
            </w:r>
          </w:p>
        </w:tc>
        <w:tc>
          <w:tcPr>
            <w:tcW w:w="1559" w:type="dxa"/>
          </w:tcPr>
          <w:p w:rsidR="00670945" w:rsidRPr="00CA6EF0" w:rsidRDefault="004A0488" w:rsidP="00670945">
            <w:pPr>
              <w:rPr>
                <w:sz w:val="18"/>
                <w:szCs w:val="18"/>
              </w:rPr>
            </w:pPr>
            <w:r>
              <w:rPr>
                <w:sz w:val="18"/>
                <w:szCs w:val="18"/>
              </w:rPr>
              <w:t>No</w:t>
            </w:r>
          </w:p>
        </w:tc>
        <w:tc>
          <w:tcPr>
            <w:tcW w:w="5812" w:type="dxa"/>
          </w:tcPr>
          <w:p w:rsidR="00670945" w:rsidRDefault="004A0488" w:rsidP="00670945">
            <w:pPr>
              <w:rPr>
                <w:sz w:val="18"/>
                <w:szCs w:val="18"/>
              </w:rPr>
            </w:pPr>
            <w:r>
              <w:rPr>
                <w:sz w:val="18"/>
                <w:szCs w:val="18"/>
              </w:rPr>
              <w:t>Subvenciones: enlace a la Base de Datos Nacional de Subvenciones</w:t>
            </w:r>
          </w:p>
          <w:p w:rsidR="004A0488" w:rsidRPr="00CA6EF0" w:rsidRDefault="004A0488" w:rsidP="004A0488">
            <w:pPr>
              <w:rPr>
                <w:sz w:val="18"/>
                <w:szCs w:val="18"/>
              </w:rPr>
            </w:pPr>
          </w:p>
        </w:tc>
      </w:tr>
      <w:tr w:rsidR="00670945" w:rsidRPr="00CA6EF0" w:rsidTr="00670945">
        <w:tc>
          <w:tcPr>
            <w:tcW w:w="3227" w:type="dxa"/>
            <w:tcBorders>
              <w:left w:val="single" w:sz="4" w:space="0" w:color="000000" w:themeColor="text1"/>
            </w:tcBorders>
          </w:tcPr>
          <w:p w:rsidR="00670945" w:rsidRPr="00CA6EF0" w:rsidRDefault="00D856ED" w:rsidP="00670945">
            <w:pPr>
              <w:spacing w:line="312" w:lineRule="auto"/>
              <w:jc w:val="both"/>
              <w:rPr>
                <w:sz w:val="18"/>
                <w:szCs w:val="18"/>
              </w:rPr>
            </w:pPr>
            <w:r>
              <w:rPr>
                <w:sz w:val="18"/>
                <w:szCs w:val="18"/>
              </w:rPr>
              <w:t>Posibilitar la búsqueda de la información relativa a compatibilidades de empleados</w:t>
            </w:r>
            <w:r w:rsidR="00670945" w:rsidRPr="00CA6EF0">
              <w:rPr>
                <w:sz w:val="18"/>
                <w:szCs w:val="18"/>
              </w:rPr>
              <w:t xml:space="preserve"> </w:t>
            </w:r>
          </w:p>
        </w:tc>
        <w:tc>
          <w:tcPr>
            <w:tcW w:w="1559" w:type="dxa"/>
          </w:tcPr>
          <w:p w:rsidR="00670945" w:rsidRPr="0004057A" w:rsidRDefault="00670945" w:rsidP="00670945">
            <w:pPr>
              <w:spacing w:line="312" w:lineRule="auto"/>
              <w:jc w:val="both"/>
              <w:rPr>
                <w:sz w:val="18"/>
                <w:szCs w:val="18"/>
              </w:rPr>
            </w:pPr>
            <w:r w:rsidRPr="0004057A">
              <w:rPr>
                <w:sz w:val="18"/>
                <w:szCs w:val="18"/>
              </w:rPr>
              <w:t>No</w:t>
            </w:r>
          </w:p>
        </w:tc>
        <w:tc>
          <w:tcPr>
            <w:tcW w:w="5812" w:type="dxa"/>
          </w:tcPr>
          <w:p w:rsidR="00670945" w:rsidRPr="00CA6EF0" w:rsidRDefault="00D856ED" w:rsidP="00C36AA8">
            <w:pPr>
              <w:spacing w:line="312" w:lineRule="auto"/>
              <w:jc w:val="both"/>
              <w:rPr>
                <w:sz w:val="18"/>
                <w:szCs w:val="18"/>
              </w:rPr>
            </w:pPr>
            <w:r>
              <w:rPr>
                <w:sz w:val="18"/>
                <w:szCs w:val="18"/>
              </w:rPr>
              <w:t>No se ha habilitado la búsqueda por Ministerio, con el problema adicional de que tanto en los ficheros Excel como en la información publicada directamente sobre la web</w:t>
            </w:r>
            <w:r w:rsidR="00C36AA8">
              <w:rPr>
                <w:sz w:val="18"/>
                <w:szCs w:val="18"/>
              </w:rPr>
              <w:t>,</w:t>
            </w:r>
            <w:r>
              <w:rPr>
                <w:sz w:val="18"/>
                <w:szCs w:val="18"/>
              </w:rPr>
              <w:t xml:space="preserve"> la mayoría de los registros no identifican el Ministerio de adscripción de la persona </w:t>
            </w:r>
            <w:r w:rsidR="00C36AA8">
              <w:rPr>
                <w:sz w:val="18"/>
                <w:szCs w:val="18"/>
              </w:rPr>
              <w:t xml:space="preserve">a quien se autoriza </w:t>
            </w:r>
            <w:r>
              <w:rPr>
                <w:sz w:val="18"/>
                <w:szCs w:val="18"/>
              </w:rPr>
              <w:t>la compatibilidad.</w:t>
            </w:r>
          </w:p>
        </w:tc>
      </w:tr>
      <w:tr w:rsidR="00D856ED" w:rsidRPr="00CA6EF0" w:rsidTr="00670945">
        <w:tc>
          <w:tcPr>
            <w:tcW w:w="3227" w:type="dxa"/>
            <w:tcBorders>
              <w:left w:val="single" w:sz="4" w:space="0" w:color="000000" w:themeColor="text1"/>
            </w:tcBorders>
          </w:tcPr>
          <w:p w:rsidR="00D856ED" w:rsidRDefault="00D856ED" w:rsidP="00670945">
            <w:pPr>
              <w:spacing w:line="312" w:lineRule="auto"/>
              <w:jc w:val="both"/>
              <w:rPr>
                <w:sz w:val="18"/>
                <w:szCs w:val="18"/>
              </w:rPr>
            </w:pPr>
            <w:r>
              <w:rPr>
                <w:sz w:val="18"/>
                <w:szCs w:val="18"/>
              </w:rPr>
              <w:t>Revisar el funcionamiento de los enlaces a la información</w:t>
            </w:r>
          </w:p>
        </w:tc>
        <w:tc>
          <w:tcPr>
            <w:tcW w:w="1559" w:type="dxa"/>
          </w:tcPr>
          <w:p w:rsidR="00D856ED" w:rsidRPr="0004057A" w:rsidRDefault="00D856ED" w:rsidP="00670945">
            <w:pPr>
              <w:spacing w:line="312" w:lineRule="auto"/>
              <w:jc w:val="both"/>
              <w:rPr>
                <w:sz w:val="18"/>
                <w:szCs w:val="18"/>
              </w:rPr>
            </w:pPr>
            <w:r>
              <w:rPr>
                <w:sz w:val="18"/>
                <w:szCs w:val="18"/>
              </w:rPr>
              <w:t>No</w:t>
            </w:r>
          </w:p>
        </w:tc>
        <w:tc>
          <w:tcPr>
            <w:tcW w:w="5812" w:type="dxa"/>
          </w:tcPr>
          <w:p w:rsidR="00B92CB7" w:rsidRDefault="00B92CB7" w:rsidP="00B92CB7">
            <w:pPr>
              <w:spacing w:line="312" w:lineRule="auto"/>
              <w:jc w:val="both"/>
              <w:rPr>
                <w:sz w:val="18"/>
                <w:szCs w:val="18"/>
              </w:rPr>
            </w:pPr>
            <w:r>
              <w:rPr>
                <w:sz w:val="18"/>
                <w:szCs w:val="18"/>
              </w:rPr>
              <w:t>Por ejemplo:</w:t>
            </w:r>
          </w:p>
          <w:p w:rsidR="00D856ED" w:rsidRDefault="00B92CB7" w:rsidP="00B92CB7">
            <w:pPr>
              <w:spacing w:line="312" w:lineRule="auto"/>
              <w:jc w:val="both"/>
              <w:rPr>
                <w:sz w:val="18"/>
                <w:szCs w:val="18"/>
              </w:rPr>
            </w:pPr>
            <w:r w:rsidRPr="00B92CB7">
              <w:rPr>
                <w:sz w:val="18"/>
                <w:szCs w:val="18"/>
              </w:rPr>
              <w:t>-</w:t>
            </w:r>
            <w:r>
              <w:rPr>
                <w:sz w:val="18"/>
                <w:szCs w:val="18"/>
              </w:rPr>
              <w:t xml:space="preserve"> </w:t>
            </w:r>
            <w:r w:rsidRPr="00B92CB7">
              <w:rPr>
                <w:sz w:val="18"/>
                <w:szCs w:val="18"/>
              </w:rPr>
              <w:t xml:space="preserve">En el apartado Informes y estadísticas se han localizado </w:t>
            </w:r>
            <w:r>
              <w:rPr>
                <w:sz w:val="18"/>
                <w:szCs w:val="18"/>
              </w:rPr>
              <w:t>140 enlaces rotos, más del 33% del total.</w:t>
            </w:r>
          </w:p>
          <w:p w:rsidR="00B92CB7" w:rsidRPr="00B92CB7" w:rsidRDefault="00B92CB7" w:rsidP="00B92CB7">
            <w:pPr>
              <w:spacing w:line="312" w:lineRule="auto"/>
              <w:jc w:val="both"/>
              <w:rPr>
                <w:sz w:val="18"/>
                <w:szCs w:val="18"/>
              </w:rPr>
            </w:pPr>
            <w:r>
              <w:rPr>
                <w:sz w:val="18"/>
                <w:szCs w:val="18"/>
              </w:rPr>
              <w:t xml:space="preserve">- Dentro de la información de relevancia jurídica se han localizado 95 enlaces rotos correspondientes a la información </w:t>
            </w:r>
            <w:r>
              <w:rPr>
                <w:sz w:val="18"/>
                <w:szCs w:val="18"/>
              </w:rPr>
              <w:lastRenderedPageBreak/>
              <w:t>sobre directrices, 107 en el apartado normas en tramitación, y están rotos todos los enlaces a los proyectos de Reglamentos.</w:t>
            </w:r>
          </w:p>
        </w:tc>
      </w:tr>
      <w:tr w:rsidR="00670945" w:rsidRPr="00CA6EF0" w:rsidTr="00670945">
        <w:tc>
          <w:tcPr>
            <w:tcW w:w="4786" w:type="dxa"/>
            <w:gridSpan w:val="2"/>
            <w:tcBorders>
              <w:left w:val="single" w:sz="4" w:space="0" w:color="000000" w:themeColor="text1"/>
            </w:tcBorders>
          </w:tcPr>
          <w:p w:rsidR="00670945" w:rsidRPr="009304AD" w:rsidRDefault="00670945" w:rsidP="00670945">
            <w:pPr>
              <w:spacing w:line="312" w:lineRule="auto"/>
              <w:jc w:val="right"/>
              <w:rPr>
                <w:b/>
                <w:sz w:val="18"/>
                <w:szCs w:val="18"/>
              </w:rPr>
            </w:pPr>
            <w:r w:rsidRPr="009304AD">
              <w:rPr>
                <w:b/>
                <w:sz w:val="18"/>
                <w:szCs w:val="18"/>
              </w:rPr>
              <w:lastRenderedPageBreak/>
              <w:t>Total Recomendaciones</w:t>
            </w:r>
          </w:p>
        </w:tc>
        <w:tc>
          <w:tcPr>
            <w:tcW w:w="5812" w:type="dxa"/>
          </w:tcPr>
          <w:p w:rsidR="00670945" w:rsidRPr="009304AD" w:rsidRDefault="00B92CB7" w:rsidP="00670945">
            <w:pPr>
              <w:spacing w:line="312" w:lineRule="auto"/>
              <w:jc w:val="both"/>
              <w:rPr>
                <w:b/>
                <w:sz w:val="18"/>
                <w:szCs w:val="18"/>
              </w:rPr>
            </w:pPr>
            <w:r>
              <w:rPr>
                <w:b/>
                <w:sz w:val="18"/>
                <w:szCs w:val="18"/>
              </w:rPr>
              <w:t>6</w:t>
            </w:r>
          </w:p>
        </w:tc>
      </w:tr>
    </w:tbl>
    <w:p w:rsidR="008926B8" w:rsidRDefault="008926B8" w:rsidP="00E36CE0">
      <w:pPr>
        <w:spacing w:before="120" w:after="120" w:line="312" w:lineRule="auto"/>
        <w:jc w:val="both"/>
      </w:pPr>
    </w:p>
    <w:p w:rsidR="00B92CB7" w:rsidRDefault="00B92CB7" w:rsidP="00E36CE0">
      <w:pPr>
        <w:spacing w:before="120" w:after="120" w:line="312" w:lineRule="auto"/>
        <w:jc w:val="both"/>
      </w:pPr>
      <w:r>
        <w:t xml:space="preserve">Del total de recomendaciones derivadas de la evaluación 2021 </w:t>
      </w:r>
      <w:r w:rsidR="00C356CF">
        <w:t>–</w:t>
      </w:r>
      <w:r>
        <w:t xml:space="preserve"> </w:t>
      </w:r>
      <w:r w:rsidR="00C356CF">
        <w:t>23 –se han aplicado 5 – la mayoría de ellas parcialmente – lo que representa el 21,7% del total.</w:t>
      </w:r>
    </w:p>
    <w:p w:rsidR="00C356CF" w:rsidRDefault="00C356CF" w:rsidP="00E36CE0">
      <w:pPr>
        <w:spacing w:before="120" w:after="120" w:line="312" w:lineRule="auto"/>
        <w:jc w:val="both"/>
      </w:pPr>
    </w:p>
    <w:p w:rsidR="00C356CF" w:rsidRPr="00C356CF" w:rsidRDefault="000516AA" w:rsidP="00C356CF">
      <w:pPr>
        <w:numPr>
          <w:ilvl w:val="0"/>
          <w:numId w:val="1"/>
        </w:numPr>
        <w:spacing w:after="0" w:line="240" w:lineRule="auto"/>
        <w:jc w:val="both"/>
        <w:rPr>
          <w:rFonts w:eastAsia="Times New Roman" w:cs="Times New Roman"/>
          <w:b/>
          <w:color w:val="50866C"/>
          <w:sz w:val="30"/>
          <w:szCs w:val="30"/>
          <w:lang w:eastAsia="en-US"/>
        </w:rPr>
      </w:pPr>
      <w:sdt>
        <w:sdtPr>
          <w:rPr>
            <w:rFonts w:eastAsia="Times New Roman" w:cs="Times New Roman"/>
            <w:b/>
            <w:color w:val="50866C"/>
            <w:sz w:val="30"/>
            <w:szCs w:val="30"/>
            <w:lang w:eastAsia="en-US"/>
          </w:rPr>
          <w:id w:val="37865676"/>
          <w:placeholder>
            <w:docPart w:val="CA9810F8EC9348E98F8B0A857AC4B9BC"/>
          </w:placeholder>
        </w:sdtPr>
        <w:sdtEndPr/>
        <w:sdtContent>
          <w:r w:rsidR="00C356CF" w:rsidRPr="00C356CF">
            <w:rPr>
              <w:rFonts w:eastAsia="Times New Roman" w:cs="Times New Roman"/>
              <w:b/>
              <w:color w:val="50866C"/>
              <w:sz w:val="30"/>
              <w:szCs w:val="30"/>
              <w:lang w:eastAsia="en-US"/>
            </w:rPr>
            <w:t>Valoración del grado de cumplimiento de las obligaciones de publicidad activa (en porcentaje)</w:t>
          </w:r>
        </w:sdtContent>
      </w:sdt>
    </w:p>
    <w:p w:rsidR="00C356CF" w:rsidRPr="00C356CF" w:rsidRDefault="00C356CF" w:rsidP="00C356CF">
      <w:pPr>
        <w:spacing w:line="240" w:lineRule="auto"/>
        <w:jc w:val="both"/>
        <w:rPr>
          <w:rFonts w:eastAsia="Times New Roman" w:cs="Times New Roman"/>
          <w:color w:val="000000"/>
          <w:szCs w:val="24"/>
          <w:lang w:eastAsia="en-US" w:bidi="es-ES"/>
        </w:rPr>
      </w:pPr>
    </w:p>
    <w:tbl>
      <w:tblPr>
        <w:tblStyle w:val="Sombreadomedio2-nfasis31"/>
        <w:tblW w:w="5093" w:type="pct"/>
        <w:tblLook w:val="04A0" w:firstRow="1" w:lastRow="0" w:firstColumn="1" w:lastColumn="0" w:noHBand="0" w:noVBand="1"/>
      </w:tblPr>
      <w:tblGrid>
        <w:gridCol w:w="4434"/>
        <w:gridCol w:w="725"/>
        <w:gridCol w:w="805"/>
        <w:gridCol w:w="805"/>
        <w:gridCol w:w="805"/>
        <w:gridCol w:w="805"/>
        <w:gridCol w:w="805"/>
        <w:gridCol w:w="805"/>
        <w:gridCol w:w="892"/>
      </w:tblGrid>
      <w:tr w:rsidR="00C356CF" w:rsidRPr="00C356CF" w:rsidTr="00AF075A">
        <w:trPr>
          <w:cnfStyle w:val="100000000000" w:firstRow="1" w:lastRow="0" w:firstColumn="0" w:lastColumn="0" w:oddVBand="0" w:evenVBand="0" w:oddHBand="0" w:evenHBand="0" w:firstRowFirstColumn="0" w:firstRowLastColumn="0" w:lastRowFirstColumn="0" w:lastRowLastColumn="0"/>
          <w:cantSplit/>
          <w:trHeight w:val="1442"/>
        </w:trPr>
        <w:tc>
          <w:tcPr>
            <w:cnfStyle w:val="001000000100" w:firstRow="0" w:lastRow="0" w:firstColumn="1" w:lastColumn="0" w:oddVBand="0" w:evenVBand="0" w:oddHBand="0" w:evenHBand="0" w:firstRowFirstColumn="1" w:firstRowLastColumn="0" w:lastRowFirstColumn="0" w:lastRowLastColumn="0"/>
            <w:tcW w:w="2037" w:type="pct"/>
            <w:tcBorders>
              <w:top w:val="single" w:sz="18" w:space="0" w:color="FFFFFF" w:themeColor="background1"/>
              <w:bottom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rPr>
                <w:rFonts w:eastAsia="Calibri" w:cs="Calibri"/>
                <w:sz w:val="16"/>
                <w:szCs w:val="16"/>
              </w:rPr>
            </w:pPr>
          </w:p>
        </w:tc>
        <w:tc>
          <w:tcPr>
            <w:tcW w:w="333"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Contenido</w:t>
            </w:r>
          </w:p>
        </w:tc>
        <w:tc>
          <w:tcPr>
            <w:tcW w:w="37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Forma</w:t>
            </w:r>
          </w:p>
        </w:tc>
        <w:tc>
          <w:tcPr>
            <w:tcW w:w="37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Estructuración</w:t>
            </w:r>
          </w:p>
        </w:tc>
        <w:tc>
          <w:tcPr>
            <w:tcW w:w="37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Accesibilidad</w:t>
            </w:r>
          </w:p>
        </w:tc>
        <w:tc>
          <w:tcPr>
            <w:tcW w:w="37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Claridad</w:t>
            </w:r>
          </w:p>
        </w:tc>
        <w:tc>
          <w:tcPr>
            <w:tcW w:w="37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Reutilización</w:t>
            </w:r>
          </w:p>
        </w:tc>
        <w:tc>
          <w:tcPr>
            <w:tcW w:w="37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Actualización</w:t>
            </w:r>
          </w:p>
        </w:tc>
        <w:tc>
          <w:tcPr>
            <w:tcW w:w="410" w:type="pct"/>
            <w:tcBorders>
              <w:top w:val="single" w:sz="18" w:space="0" w:color="FFFFFF" w:themeColor="background1"/>
            </w:tcBorders>
            <w:shd w:val="clear" w:color="auto" w:fill="00642D"/>
            <w:noWrap/>
            <w:textDirection w:val="btLr"/>
            <w:vAlign w:val="center"/>
            <w:hideMark/>
          </w:tcPr>
          <w:p w:rsidR="00C356CF" w:rsidRPr="00C356CF" w:rsidRDefault="00C356CF" w:rsidP="00C356CF">
            <w:pPr>
              <w:spacing w:before="120" w:after="120" w:line="312"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C356CF">
              <w:rPr>
                <w:rFonts w:eastAsia="Calibri" w:cs="Calibri"/>
                <w:sz w:val="16"/>
                <w:szCs w:val="16"/>
              </w:rPr>
              <w:t>Total</w:t>
            </w:r>
          </w:p>
        </w:tc>
      </w:tr>
      <w:tr w:rsidR="00AF075A" w:rsidRPr="00C356CF" w:rsidTr="00AF075A">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hideMark/>
          </w:tcPr>
          <w:p w:rsidR="00AF075A" w:rsidRPr="00C356CF" w:rsidRDefault="00AF075A" w:rsidP="00C356CF">
            <w:pPr>
              <w:spacing w:before="120" w:after="120" w:line="312" w:lineRule="auto"/>
              <w:rPr>
                <w:rFonts w:eastAsia="Calibri" w:cs="Calibri"/>
                <w:sz w:val="16"/>
                <w:szCs w:val="16"/>
              </w:rPr>
            </w:pPr>
            <w:r w:rsidRPr="00C356CF">
              <w:rPr>
                <w:rFonts w:eastAsia="Calibri" w:cs="Calibri"/>
                <w:sz w:val="16"/>
                <w:szCs w:val="16"/>
              </w:rPr>
              <w:t>Institucional, Organizativa y de Planificación</w:t>
            </w:r>
          </w:p>
        </w:tc>
        <w:tc>
          <w:tcPr>
            <w:tcW w:w="333" w:type="pct"/>
            <w:tcBorders>
              <w:left w:val="single" w:sz="18" w:space="0" w:color="FFFFFF" w:themeColor="background1"/>
            </w:tcBorders>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c>
          <w:tcPr>
            <w:tcW w:w="41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73,0%</w:t>
            </w:r>
          </w:p>
        </w:tc>
      </w:tr>
      <w:tr w:rsidR="00AF075A" w:rsidRPr="00C356CF" w:rsidTr="00AF075A">
        <w:trPr>
          <w:trHeight w:val="555"/>
        </w:trPr>
        <w:tc>
          <w:tcPr>
            <w:cnfStyle w:val="001000000000" w:firstRow="0" w:lastRow="0" w:firstColumn="1" w:lastColumn="0" w:oddVBand="0" w:evenVBand="0" w:oddHBand="0" w:evenHBand="0" w:firstRowFirstColumn="0" w:firstRowLastColumn="0" w:lastRowFirstColumn="0" w:lastRowLastColumn="0"/>
            <w:tcW w:w="20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tcPr>
          <w:p w:rsidR="00AF075A" w:rsidRPr="00C356CF" w:rsidRDefault="00AF075A" w:rsidP="00C356CF">
            <w:pPr>
              <w:spacing w:before="120" w:after="120" w:line="312" w:lineRule="auto"/>
              <w:rPr>
                <w:rFonts w:eastAsia="Calibri" w:cs="Calibri"/>
                <w:sz w:val="16"/>
                <w:szCs w:val="16"/>
              </w:rPr>
            </w:pPr>
            <w:r w:rsidRPr="00C356CF">
              <w:rPr>
                <w:rFonts w:eastAsia="Calibri" w:cs="Calibri"/>
                <w:sz w:val="16"/>
                <w:szCs w:val="16"/>
              </w:rPr>
              <w:t>De relevancia jurídica</w:t>
            </w:r>
          </w:p>
        </w:tc>
        <w:tc>
          <w:tcPr>
            <w:tcW w:w="333" w:type="pct"/>
            <w:tcBorders>
              <w:left w:val="single" w:sz="18" w:space="0" w:color="FFFFFF" w:themeColor="background1"/>
            </w:tcBorders>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15,0%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52,0%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27,0%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52,0%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52,0%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52,0%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27,0%</w:t>
            </w:r>
          </w:p>
        </w:tc>
        <w:tc>
          <w:tcPr>
            <w:tcW w:w="41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40,0%</w:t>
            </w:r>
          </w:p>
        </w:tc>
      </w:tr>
      <w:tr w:rsidR="00AF075A" w:rsidRPr="00C356CF" w:rsidTr="00AF075A">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hideMark/>
          </w:tcPr>
          <w:p w:rsidR="00AF075A" w:rsidRPr="00C356CF" w:rsidRDefault="00AF075A" w:rsidP="00C356CF">
            <w:pPr>
              <w:spacing w:before="120" w:after="120" w:line="312" w:lineRule="auto"/>
              <w:rPr>
                <w:rFonts w:eastAsia="Calibri" w:cs="Calibri"/>
                <w:sz w:val="16"/>
                <w:szCs w:val="16"/>
              </w:rPr>
            </w:pPr>
            <w:r w:rsidRPr="00C356CF">
              <w:rPr>
                <w:rFonts w:eastAsia="Calibri" w:cs="Calibri"/>
                <w:sz w:val="16"/>
                <w:szCs w:val="16"/>
              </w:rPr>
              <w:t>Económica , Presupuestaria y Estadística</w:t>
            </w:r>
          </w:p>
        </w:tc>
        <w:tc>
          <w:tcPr>
            <w:tcW w:w="333" w:type="pct"/>
            <w:tcBorders>
              <w:left w:val="single" w:sz="18" w:space="0" w:color="FFFFFF" w:themeColor="background1"/>
            </w:tcBorders>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90,0%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80,0%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90,0%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76,0%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90,0%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90,0%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90,0%</w:t>
            </w:r>
          </w:p>
        </w:tc>
        <w:tc>
          <w:tcPr>
            <w:tcW w:w="41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AF075A">
              <w:rPr>
                <w:sz w:val="18"/>
                <w:szCs w:val="18"/>
              </w:rPr>
              <w:t>87,0%</w:t>
            </w:r>
          </w:p>
        </w:tc>
      </w:tr>
      <w:tr w:rsidR="00AF075A" w:rsidRPr="00C356CF" w:rsidTr="00AF075A">
        <w:trPr>
          <w:trHeight w:val="555"/>
        </w:trPr>
        <w:tc>
          <w:tcPr>
            <w:cnfStyle w:val="001000000000" w:firstRow="0" w:lastRow="0" w:firstColumn="1" w:lastColumn="0" w:oddVBand="0" w:evenVBand="0" w:oddHBand="0" w:evenHBand="0" w:firstRowFirstColumn="0" w:firstRowLastColumn="0" w:lastRowFirstColumn="0" w:lastRowLastColumn="0"/>
            <w:tcW w:w="20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tcPr>
          <w:p w:rsidR="00AF075A" w:rsidRPr="00C356CF" w:rsidRDefault="00AF075A" w:rsidP="00C356CF">
            <w:pPr>
              <w:spacing w:before="120" w:after="120" w:line="312" w:lineRule="auto"/>
              <w:rPr>
                <w:rFonts w:eastAsia="Calibri" w:cs="Calibri"/>
                <w:sz w:val="16"/>
                <w:szCs w:val="16"/>
              </w:rPr>
            </w:pPr>
            <w:r w:rsidRPr="00C356CF">
              <w:rPr>
                <w:rFonts w:eastAsia="Calibri" w:cs="Calibri"/>
                <w:sz w:val="16"/>
                <w:szCs w:val="16"/>
              </w:rPr>
              <w:t>Información patrimonial</w:t>
            </w:r>
          </w:p>
        </w:tc>
        <w:tc>
          <w:tcPr>
            <w:tcW w:w="333" w:type="pct"/>
            <w:tcBorders>
              <w:left w:val="single" w:sz="18" w:space="0" w:color="FFFFFF" w:themeColor="background1"/>
            </w:tcBorders>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50,0%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100,0%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100,0%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100,0%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100,0%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100,0%</w:t>
            </w:r>
          </w:p>
        </w:tc>
        <w:tc>
          <w:tcPr>
            <w:tcW w:w="37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100,0%</w:t>
            </w:r>
          </w:p>
        </w:tc>
        <w:tc>
          <w:tcPr>
            <w:tcW w:w="410" w:type="pct"/>
            <w:noWrap/>
            <w:vAlign w:val="center"/>
          </w:tcPr>
          <w:p w:rsidR="00AF075A" w:rsidRPr="00AF075A" w:rsidRDefault="00AF075A" w:rsidP="00AF075A">
            <w:pPr>
              <w:jc w:val="center"/>
              <w:cnfStyle w:val="000000000000" w:firstRow="0" w:lastRow="0" w:firstColumn="0" w:lastColumn="0" w:oddVBand="0" w:evenVBand="0" w:oddHBand="0" w:evenHBand="0" w:firstRowFirstColumn="0" w:firstRowLastColumn="0" w:lastRowFirstColumn="0" w:lastRowLastColumn="0"/>
              <w:rPr>
                <w:sz w:val="18"/>
                <w:szCs w:val="18"/>
              </w:rPr>
            </w:pPr>
            <w:r w:rsidRPr="00AF075A">
              <w:rPr>
                <w:sz w:val="18"/>
                <w:szCs w:val="18"/>
              </w:rPr>
              <w:t>93,0%</w:t>
            </w:r>
          </w:p>
        </w:tc>
      </w:tr>
      <w:tr w:rsidR="00AF075A" w:rsidRPr="00C356CF" w:rsidTr="00AF075A">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hideMark/>
          </w:tcPr>
          <w:p w:rsidR="00AF075A" w:rsidRPr="00C356CF" w:rsidRDefault="00AF075A" w:rsidP="00C356CF">
            <w:pPr>
              <w:spacing w:before="120" w:after="120" w:line="312" w:lineRule="auto"/>
              <w:rPr>
                <w:rFonts w:eastAsia="Calibri" w:cs="Calibri"/>
                <w:i/>
                <w:sz w:val="16"/>
                <w:szCs w:val="16"/>
              </w:rPr>
            </w:pPr>
            <w:r w:rsidRPr="00C356CF">
              <w:rPr>
                <w:rFonts w:eastAsia="Calibri" w:cs="Calibri"/>
                <w:i/>
                <w:sz w:val="16"/>
                <w:szCs w:val="16"/>
              </w:rPr>
              <w:t>Índice de Cumplimiento de la Información Obligatoria</w:t>
            </w:r>
          </w:p>
        </w:tc>
        <w:tc>
          <w:tcPr>
            <w:tcW w:w="333" w:type="pct"/>
            <w:tcBorders>
              <w:left w:val="single" w:sz="18" w:space="0" w:color="FFFFFF" w:themeColor="background1"/>
            </w:tcBorders>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72,0%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74,0%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75,0%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72,0%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79,0%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79,0%</w:t>
            </w:r>
          </w:p>
        </w:tc>
        <w:tc>
          <w:tcPr>
            <w:tcW w:w="37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75,0%</w:t>
            </w:r>
          </w:p>
        </w:tc>
        <w:tc>
          <w:tcPr>
            <w:tcW w:w="410" w:type="pct"/>
            <w:noWrap/>
            <w:vAlign w:val="center"/>
          </w:tcPr>
          <w:p w:rsidR="00AF075A" w:rsidRPr="00AF075A" w:rsidRDefault="00AF075A" w:rsidP="00AF075A">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AF075A">
              <w:rPr>
                <w:b/>
                <w:i/>
                <w:sz w:val="18"/>
                <w:szCs w:val="18"/>
              </w:rPr>
              <w:t>75,0%</w:t>
            </w:r>
          </w:p>
        </w:tc>
      </w:tr>
    </w:tbl>
    <w:p w:rsidR="00C356CF" w:rsidRPr="00C356CF" w:rsidRDefault="00C356CF" w:rsidP="00C356CF">
      <w:pPr>
        <w:spacing w:line="240" w:lineRule="auto"/>
        <w:jc w:val="both"/>
        <w:rPr>
          <w:rFonts w:eastAsia="Times New Roman" w:cs="Times New Roman"/>
          <w:color w:val="000000"/>
          <w:szCs w:val="24"/>
          <w:lang w:eastAsia="en-US" w:bidi="es-ES"/>
        </w:rPr>
      </w:pPr>
    </w:p>
    <w:p w:rsidR="00C356CF" w:rsidRPr="00C356CF" w:rsidRDefault="00C356CF" w:rsidP="00C356CF">
      <w:pPr>
        <w:spacing w:line="240" w:lineRule="auto"/>
        <w:jc w:val="both"/>
        <w:rPr>
          <w:rFonts w:eastAsia="Times New Roman" w:cs="Times New Roman"/>
          <w:color w:val="000000"/>
          <w:szCs w:val="24"/>
          <w:lang w:eastAsia="en-US" w:bidi="es-ES"/>
        </w:rPr>
      </w:pPr>
      <w:r w:rsidRPr="00C356CF">
        <w:rPr>
          <w:rFonts w:eastAsia="Times New Roman" w:cs="Times New Roman"/>
          <w:color w:val="000000"/>
          <w:szCs w:val="24"/>
          <w:lang w:eastAsia="en-US" w:bidi="es-ES"/>
        </w:rPr>
        <w:t xml:space="preserve">El Índice de Cumplimiento de la Información Obligatoria (ICIO) se sitúa en el </w:t>
      </w:r>
      <w:r w:rsidR="00AF075A">
        <w:rPr>
          <w:rFonts w:eastAsia="Times New Roman" w:cs="Times New Roman"/>
          <w:color w:val="000000"/>
          <w:szCs w:val="24"/>
          <w:lang w:eastAsia="en-US" w:bidi="es-ES"/>
        </w:rPr>
        <w:t>75</w:t>
      </w:r>
      <w:r w:rsidRPr="00C356CF">
        <w:rPr>
          <w:rFonts w:eastAsia="Times New Roman" w:cs="Times New Roman"/>
          <w:color w:val="000000"/>
          <w:szCs w:val="24"/>
          <w:lang w:eastAsia="en-US" w:bidi="es-ES"/>
        </w:rPr>
        <w:t>%. Respecto de 202</w:t>
      </w:r>
      <w:r w:rsidR="00AF075A">
        <w:rPr>
          <w:rFonts w:eastAsia="Times New Roman" w:cs="Times New Roman"/>
          <w:color w:val="000000"/>
          <w:szCs w:val="24"/>
          <w:lang w:eastAsia="en-US" w:bidi="es-ES"/>
        </w:rPr>
        <w:t>1</w:t>
      </w:r>
      <w:r w:rsidRPr="00C356CF">
        <w:rPr>
          <w:rFonts w:eastAsia="Times New Roman" w:cs="Times New Roman"/>
          <w:color w:val="000000"/>
          <w:szCs w:val="24"/>
          <w:lang w:eastAsia="en-US" w:bidi="es-ES"/>
        </w:rPr>
        <w:t xml:space="preserve"> se produce un incremento de </w:t>
      </w:r>
      <w:r w:rsidR="007E6DE0">
        <w:rPr>
          <w:rFonts w:eastAsia="Times New Roman" w:cs="Times New Roman"/>
          <w:color w:val="000000"/>
          <w:szCs w:val="24"/>
          <w:lang w:eastAsia="en-US" w:bidi="es-ES"/>
        </w:rPr>
        <w:t>2</w:t>
      </w:r>
      <w:r w:rsidR="001B2139">
        <w:rPr>
          <w:rFonts w:eastAsia="Times New Roman" w:cs="Times New Roman"/>
          <w:color w:val="000000"/>
          <w:szCs w:val="24"/>
          <w:lang w:eastAsia="en-US" w:bidi="es-ES"/>
        </w:rPr>
        <w:t>,</w:t>
      </w:r>
      <w:r w:rsidR="007E6DE0">
        <w:rPr>
          <w:rFonts w:eastAsia="Times New Roman" w:cs="Times New Roman"/>
          <w:color w:val="000000"/>
          <w:szCs w:val="24"/>
          <w:lang w:eastAsia="en-US" w:bidi="es-ES"/>
        </w:rPr>
        <w:t xml:space="preserve">1 </w:t>
      </w:r>
      <w:r w:rsidRPr="00C356CF">
        <w:rPr>
          <w:rFonts w:eastAsia="Times New Roman" w:cs="Times New Roman"/>
          <w:color w:val="000000"/>
          <w:szCs w:val="24"/>
          <w:lang w:eastAsia="en-US" w:bidi="es-ES"/>
        </w:rPr>
        <w:t xml:space="preserve">puntos porcentuales atribuibles a la aplicación de </w:t>
      </w:r>
      <w:r w:rsidR="007E6DE0">
        <w:rPr>
          <w:rFonts w:eastAsia="Times New Roman" w:cs="Times New Roman"/>
          <w:color w:val="000000"/>
          <w:szCs w:val="24"/>
          <w:lang w:eastAsia="en-US" w:bidi="es-ES"/>
        </w:rPr>
        <w:t>parte</w:t>
      </w:r>
      <w:r w:rsidRPr="00C356CF">
        <w:rPr>
          <w:rFonts w:eastAsia="Times New Roman" w:cs="Times New Roman"/>
          <w:color w:val="000000"/>
          <w:szCs w:val="24"/>
          <w:lang w:eastAsia="en-US" w:bidi="es-ES"/>
        </w:rPr>
        <w:t xml:space="preserve"> de las recomendaciones efectuadas en 2021.</w:t>
      </w:r>
    </w:p>
    <w:p w:rsidR="00C356CF" w:rsidRPr="00C356CF" w:rsidRDefault="00C356CF" w:rsidP="00C356CF">
      <w:pPr>
        <w:spacing w:line="240" w:lineRule="auto"/>
        <w:jc w:val="both"/>
        <w:rPr>
          <w:rFonts w:eastAsia="Times New Roman" w:cs="Times New Roman"/>
          <w:color w:val="000000"/>
          <w:szCs w:val="24"/>
          <w:lang w:eastAsia="en-US"/>
        </w:rPr>
        <w:sectPr w:rsidR="00C356CF" w:rsidRPr="00C356CF" w:rsidSect="00C356CF">
          <w:pgSz w:w="11906" w:h="16838" w:code="9"/>
          <w:pgMar w:top="1440" w:right="720" w:bottom="1440" w:left="720" w:header="720" w:footer="720" w:gutter="0"/>
          <w:cols w:space="720"/>
          <w:docGrid w:linePitch="326"/>
        </w:sectPr>
      </w:pPr>
    </w:p>
    <w:p w:rsidR="007E6DE0" w:rsidRPr="007E6DE0" w:rsidRDefault="007E6DE0" w:rsidP="00C90E37">
      <w:pPr>
        <w:pStyle w:val="Prrafodelista"/>
        <w:numPr>
          <w:ilvl w:val="0"/>
          <w:numId w:val="14"/>
        </w:numPr>
        <w:spacing w:before="120" w:after="120" w:line="312" w:lineRule="auto"/>
        <w:rPr>
          <w:b/>
          <w:color w:val="00642D"/>
          <w:sz w:val="30"/>
          <w:szCs w:val="30"/>
        </w:rPr>
      </w:pPr>
      <w:r w:rsidRPr="007E6DE0">
        <w:rPr>
          <w:b/>
          <w:color w:val="00642D"/>
          <w:sz w:val="30"/>
          <w:szCs w:val="30"/>
        </w:rPr>
        <w:lastRenderedPageBreak/>
        <w:t>Conclusiones y recomendaciones generales</w:t>
      </w:r>
    </w:p>
    <w:p w:rsidR="007E6DE0" w:rsidRDefault="007E6DE0" w:rsidP="007E6DE0">
      <w:pPr>
        <w:spacing w:before="120" w:after="120" w:line="312" w:lineRule="auto"/>
        <w:jc w:val="both"/>
        <w:rPr>
          <w:b/>
          <w:color w:val="00642D"/>
          <w:sz w:val="30"/>
          <w:szCs w:val="30"/>
        </w:rPr>
      </w:pPr>
    </w:p>
    <w:p w:rsidR="007E6DE0" w:rsidRDefault="007E6DE0" w:rsidP="007E6DE0">
      <w:pPr>
        <w:jc w:val="both"/>
      </w:pPr>
      <w:r>
        <w:t>Aunque este Consejo valora positivamente el esfuerzo realizado para mejorar el Portal de Transparencia de la AGE, lo cierto es que el nivel de cumplimiento de las obligaciones de publicidad activa ha permanecido prácticamente estable respecto de</w:t>
      </w:r>
      <w:r w:rsidR="001B2139">
        <w:t xml:space="preserve"> </w:t>
      </w:r>
      <w:r>
        <w:t xml:space="preserve">2021. Aunque este Consejo comprende las dificultades de manejo </w:t>
      </w:r>
      <w:r w:rsidR="001B2139">
        <w:t xml:space="preserve">que presenta </w:t>
      </w:r>
      <w:r>
        <w:t xml:space="preserve">el volumen de información que ha de </w:t>
      </w:r>
      <w:r w:rsidR="001B2139">
        <w:t>gestionar</w:t>
      </w:r>
      <w:r>
        <w:t xml:space="preserve"> el Portal, que además se suministra por los diferentes Departamentos</w:t>
      </w:r>
      <w:r w:rsidR="007B67B8">
        <w:t xml:space="preserve"> y otras fuentes externas</w:t>
      </w:r>
      <w:r>
        <w:t xml:space="preserve">, la necesidad de introducir mejoras es evidente. </w:t>
      </w:r>
    </w:p>
    <w:p w:rsidR="007E6DE0" w:rsidRDefault="007E6DE0" w:rsidP="007E6DE0">
      <w:pPr>
        <w:jc w:val="both"/>
      </w:pPr>
      <w:r>
        <w:t>Se han aplicado 5 de las 23 recomendaciones efectuadas en 2021, lo que ha posibilitado un incremento del Índice de Cumplimiento de la Información obligatoria</w:t>
      </w:r>
      <w:r w:rsidR="001B2139">
        <w:t xml:space="preserve"> de 2,1 puntos porcentuales</w:t>
      </w:r>
      <w:r>
        <w:t>, pero todavía permanecen gran parte de lo</w:t>
      </w:r>
      <w:r w:rsidR="001B2139">
        <w:t>s déficits evidenciados en 2021:</w:t>
      </w:r>
    </w:p>
    <w:p w:rsidR="001B2139" w:rsidRPr="001B2139" w:rsidRDefault="001B2139" w:rsidP="00C90E37">
      <w:pPr>
        <w:pStyle w:val="Prrafodelista"/>
        <w:numPr>
          <w:ilvl w:val="0"/>
          <w:numId w:val="15"/>
        </w:numPr>
        <w:jc w:val="both"/>
        <w:rPr>
          <w:b/>
          <w:color w:val="00642D"/>
        </w:rPr>
      </w:pPr>
      <w:r w:rsidRPr="001B2139">
        <w:rPr>
          <w:b/>
          <w:color w:val="00642D"/>
        </w:rPr>
        <w:t>Respecto de la localización y estructuración de la información:</w:t>
      </w:r>
    </w:p>
    <w:p w:rsidR="001B2139" w:rsidRDefault="001B2139" w:rsidP="001B2139">
      <w:pPr>
        <w:pStyle w:val="Prrafodelista"/>
        <w:jc w:val="both"/>
      </w:pPr>
    </w:p>
    <w:p w:rsidR="001B2139" w:rsidRDefault="001B2139" w:rsidP="00C90E37">
      <w:pPr>
        <w:pStyle w:val="Prrafodelista"/>
        <w:numPr>
          <w:ilvl w:val="0"/>
          <w:numId w:val="16"/>
        </w:numPr>
        <w:jc w:val="both"/>
      </w:pPr>
      <w:r>
        <w:t>La información de relevancia jurídica sigue sin ajustarse a la estructura que para este bloque de información establece la LTAIBG.</w:t>
      </w:r>
    </w:p>
    <w:p w:rsidR="001B2139" w:rsidRDefault="001B2139" w:rsidP="001B2139">
      <w:pPr>
        <w:pStyle w:val="Prrafodelista"/>
        <w:ind w:left="1440"/>
        <w:jc w:val="both"/>
      </w:pPr>
    </w:p>
    <w:p w:rsidR="001B2139" w:rsidRDefault="001B2139" w:rsidP="00C90E37">
      <w:pPr>
        <w:pStyle w:val="Prrafodelista"/>
        <w:numPr>
          <w:ilvl w:val="0"/>
          <w:numId w:val="16"/>
        </w:numPr>
        <w:jc w:val="both"/>
      </w:pPr>
      <w:r>
        <w:t xml:space="preserve">Continua incluyéndose </w:t>
      </w:r>
      <w:r w:rsidRPr="001B2139">
        <w:t xml:space="preserve">información de entidades del sector público institucional que no son AGE en sentido estricto, ámbito ya de por sí muy amplio al que, a juicio de este Consejo, se debería limitar este Portal. </w:t>
      </w:r>
      <w:r>
        <w:t>Siguen sin existir</w:t>
      </w:r>
      <w:r w:rsidRPr="001B2139">
        <w:t xml:space="preserve"> criterios homogéneos a los que responda la información que se proporciona de estas entidades del sector público institucional estatal, que pueden aparecer en algunos apartados de información y no en otros, con una extensión variable e incluso, dudas sobre su actualización. Esta circunstancia entorpece la búsqueda de información, pudiendo inducir a confusión y a la creencia de que no hay más información de estas entidades que la que ofrece el Portal.</w:t>
      </w:r>
    </w:p>
    <w:p w:rsidR="001B2139" w:rsidRDefault="001B2139" w:rsidP="001B2139">
      <w:pPr>
        <w:pStyle w:val="Prrafodelista"/>
      </w:pPr>
    </w:p>
    <w:p w:rsidR="001B2139" w:rsidRDefault="001B2139" w:rsidP="00C90E37">
      <w:pPr>
        <w:pStyle w:val="Prrafodelista"/>
        <w:numPr>
          <w:ilvl w:val="0"/>
          <w:numId w:val="16"/>
        </w:numPr>
        <w:jc w:val="both"/>
      </w:pPr>
      <w:r>
        <w:t>Sigue apareciendo información vinculada a las denominaciones de los Ministerios previas a la reestructuración del Gobierno de 2021. Se ha constatado que estas denominaciones se mantienen incluso para información correspondiente a 2022.</w:t>
      </w:r>
    </w:p>
    <w:p w:rsidR="001B2139" w:rsidRDefault="001B2139" w:rsidP="001B2139">
      <w:pPr>
        <w:pStyle w:val="Prrafodelista"/>
      </w:pPr>
    </w:p>
    <w:p w:rsidR="001B2139" w:rsidRDefault="001B2139" w:rsidP="00C90E37">
      <w:pPr>
        <w:pStyle w:val="Prrafodelista"/>
        <w:numPr>
          <w:ilvl w:val="0"/>
          <w:numId w:val="16"/>
        </w:numPr>
        <w:jc w:val="both"/>
      </w:pPr>
      <w:r>
        <w:t xml:space="preserve">Continúa publicándose información de algunos Ministerios conjuntamente con la correspondiente a otros, como es el caso de los Ministerios de Sanidad – que incluye información de los Ministerios de Derechos Sociales y Agenda 2030 y para algunas informaciones también de los Ministerios de Consumo e Igualdad </w:t>
      </w:r>
      <w:r w:rsidR="00C90E37">
        <w:t>–,</w:t>
      </w:r>
      <w:r>
        <w:t xml:space="preserve"> </w:t>
      </w:r>
      <w:r w:rsidR="00C90E37">
        <w:t xml:space="preserve">de Educación – que incluye informaciones de los Ministerios de Cultura y Universidades -, de Agricultura, Pesca y Alimentación- que incluye informaciones del Ministerio para la Transición Ecológica y </w:t>
      </w:r>
      <w:r w:rsidR="007D42ED">
        <w:t>el</w:t>
      </w:r>
      <w:r w:rsidR="00C90E37">
        <w:t xml:space="preserve"> Reto Demográfico, o del Ministerio de Trabajo y Economía Social – que incluye información del Ministerio de Inclusión, Seguridad Social y Migraciones -.</w:t>
      </w:r>
    </w:p>
    <w:p w:rsidR="00C90E37" w:rsidRDefault="00C90E37" w:rsidP="00C90E37">
      <w:pPr>
        <w:pStyle w:val="Prrafodelista"/>
      </w:pPr>
    </w:p>
    <w:p w:rsidR="00C90E37" w:rsidRDefault="00C90E37" w:rsidP="00C90E37">
      <w:pPr>
        <w:pStyle w:val="Prrafodelista"/>
        <w:numPr>
          <w:ilvl w:val="0"/>
          <w:numId w:val="16"/>
        </w:numPr>
        <w:jc w:val="both"/>
      </w:pPr>
      <w:r>
        <w:t>Siguen existiendo problemas con los enlaces a la información que en un número importante están rotos.</w:t>
      </w:r>
    </w:p>
    <w:p w:rsidR="001B2139" w:rsidRDefault="001B2139" w:rsidP="00C90E37">
      <w:pPr>
        <w:pStyle w:val="Prrafodelista"/>
        <w:numPr>
          <w:ilvl w:val="0"/>
          <w:numId w:val="15"/>
        </w:numPr>
        <w:jc w:val="both"/>
        <w:rPr>
          <w:b/>
          <w:color w:val="00642D"/>
        </w:rPr>
      </w:pPr>
      <w:r w:rsidRPr="00C90E37">
        <w:rPr>
          <w:b/>
          <w:color w:val="00642D"/>
        </w:rPr>
        <w:lastRenderedPageBreak/>
        <w:t>Respecto de la publicación de contenidos</w:t>
      </w:r>
    </w:p>
    <w:p w:rsidR="00C90E37" w:rsidRPr="00C90E37" w:rsidRDefault="00C90E37" w:rsidP="00C90E37">
      <w:pPr>
        <w:pStyle w:val="Prrafodelista"/>
        <w:jc w:val="both"/>
        <w:rPr>
          <w:b/>
          <w:color w:val="00642D"/>
        </w:rPr>
      </w:pPr>
    </w:p>
    <w:p w:rsidR="007E6DE0" w:rsidRDefault="00C90E37" w:rsidP="00C90E37">
      <w:pPr>
        <w:pStyle w:val="Prrafodelista"/>
        <w:numPr>
          <w:ilvl w:val="0"/>
          <w:numId w:val="17"/>
        </w:numPr>
        <w:jc w:val="both"/>
      </w:pPr>
      <w:r>
        <w:t>Bloque de Información Institucional, Organizativa y de Planificación</w:t>
      </w:r>
      <w:r w:rsidR="006322DC">
        <w:t>:</w:t>
      </w:r>
    </w:p>
    <w:p w:rsidR="006322DC" w:rsidRDefault="006322DC" w:rsidP="006322DC">
      <w:pPr>
        <w:pStyle w:val="Prrafodelista"/>
        <w:jc w:val="both"/>
      </w:pPr>
    </w:p>
    <w:p w:rsidR="00C90E37" w:rsidRDefault="00C90E37" w:rsidP="00C90E37">
      <w:pPr>
        <w:pStyle w:val="Prrafodelista"/>
        <w:numPr>
          <w:ilvl w:val="1"/>
          <w:numId w:val="17"/>
        </w:numPr>
        <w:jc w:val="both"/>
      </w:pPr>
      <w:r>
        <w:t xml:space="preserve">Aunque se ha publicado el Registro de Tratamiento del </w:t>
      </w:r>
      <w:r w:rsidRPr="00C90E37">
        <w:t>Ministerio de Asuntos Exterior</w:t>
      </w:r>
      <w:r>
        <w:t>es, Unión Europea y Cooperación, esta publicación no cúmplelos requisitos que establece el Reglamento Europeo de Protección de Datos.</w:t>
      </w:r>
    </w:p>
    <w:p w:rsidR="00C90E37" w:rsidRDefault="00C90E37" w:rsidP="00C90E37">
      <w:pPr>
        <w:pStyle w:val="Prrafodelista"/>
        <w:ind w:left="1440"/>
        <w:jc w:val="both"/>
      </w:pPr>
    </w:p>
    <w:p w:rsidR="00C90E37" w:rsidRDefault="00C90E37" w:rsidP="00C90E37">
      <w:pPr>
        <w:pStyle w:val="Prrafodelista"/>
        <w:numPr>
          <w:ilvl w:val="1"/>
          <w:numId w:val="17"/>
        </w:numPr>
        <w:jc w:val="both"/>
      </w:pPr>
      <w:r>
        <w:t xml:space="preserve">La información del grupo de obligaciones Planificación requiere una revisión a fondo. Gran parte de la información carece de vigencia, otra parte no se corresponde con los contenidos de esta obligación, </w:t>
      </w:r>
      <w:r w:rsidR="006322DC">
        <w:t xml:space="preserve">la información de seguimiento y evaluación de planes y programas carece de un apartado propio y sigue mezclada con información  que se corresponde con los contenidos que el artículo 8 de la LTAIBG establece para la información estadística </w:t>
      </w:r>
      <w:r w:rsidR="008D2063">
        <w:t>sobre</w:t>
      </w:r>
      <w:r w:rsidR="006322DC">
        <w:t xml:space="preserve"> cumplimiento y calidad de los servicios.</w:t>
      </w:r>
    </w:p>
    <w:p w:rsidR="00CE3643" w:rsidRDefault="00CE3643" w:rsidP="00CE3643">
      <w:pPr>
        <w:pStyle w:val="Prrafodelista"/>
      </w:pPr>
    </w:p>
    <w:p w:rsidR="00CE3643" w:rsidRDefault="00CE3643" w:rsidP="00CE3643">
      <w:pPr>
        <w:pStyle w:val="Prrafodelista"/>
        <w:ind w:left="1440"/>
        <w:jc w:val="both"/>
      </w:pPr>
    </w:p>
    <w:p w:rsidR="00C90E37" w:rsidRDefault="00CE3643" w:rsidP="00C90E37">
      <w:pPr>
        <w:pStyle w:val="Prrafodelista"/>
        <w:numPr>
          <w:ilvl w:val="0"/>
          <w:numId w:val="17"/>
        </w:numPr>
        <w:jc w:val="both"/>
      </w:pPr>
      <w:r>
        <w:t>Bloque de Información de Relevancia Jurídica:</w:t>
      </w:r>
    </w:p>
    <w:p w:rsidR="00CE3643" w:rsidRDefault="00CE3643" w:rsidP="00CE3643">
      <w:pPr>
        <w:pStyle w:val="Prrafodelista"/>
        <w:jc w:val="both"/>
      </w:pPr>
    </w:p>
    <w:p w:rsidR="00CE3643" w:rsidRDefault="00CE3643" w:rsidP="00CE3643">
      <w:pPr>
        <w:pStyle w:val="Prrafodelista"/>
        <w:jc w:val="both"/>
      </w:pPr>
      <w:r>
        <w:t>En este bloque de información subsisten todas las deficiencias que se señalaron en 2021. Necesita una revisión en profundidad tanto en cuanto a los contenidos publicados que no se corresponden con los establecidos en el artículo 7 de la LTAIBG, como en aspectos tales como</w:t>
      </w:r>
      <w:r w:rsidRPr="00CE3643">
        <w:t xml:space="preserve"> </w:t>
      </w:r>
      <w:r>
        <w:t xml:space="preserve">la </w:t>
      </w:r>
      <w:r w:rsidRPr="00CE3643">
        <w:t>denominación de algunos accesos, la supresión de otros que puedan ser superfluos –como el acceso de normas “con tramitación finalizada” - o que inducen a confusión –como los dos accesos existentes sobre información pública.</w:t>
      </w:r>
    </w:p>
    <w:p w:rsidR="00CE3643" w:rsidRDefault="00CE3643" w:rsidP="00CE3643">
      <w:pPr>
        <w:pStyle w:val="Prrafodelista"/>
        <w:jc w:val="both"/>
      </w:pPr>
    </w:p>
    <w:p w:rsidR="00CE3643" w:rsidRDefault="00CE3643" w:rsidP="00C90E37">
      <w:pPr>
        <w:pStyle w:val="Prrafodelista"/>
        <w:numPr>
          <w:ilvl w:val="0"/>
          <w:numId w:val="17"/>
        </w:numPr>
        <w:jc w:val="both"/>
      </w:pPr>
      <w:r>
        <w:t>Bloque de Información Económica, Presupuestaria y Estadística:</w:t>
      </w:r>
    </w:p>
    <w:p w:rsidR="007B67B8" w:rsidRDefault="007B67B8" w:rsidP="007B67B8">
      <w:pPr>
        <w:pStyle w:val="Prrafodelista"/>
        <w:jc w:val="both"/>
      </w:pPr>
    </w:p>
    <w:p w:rsidR="00CE3643" w:rsidRPr="00CE3643" w:rsidRDefault="00CE3643" w:rsidP="00CE3643">
      <w:pPr>
        <w:pStyle w:val="Prrafodelista"/>
        <w:numPr>
          <w:ilvl w:val="1"/>
          <w:numId w:val="17"/>
        </w:numPr>
        <w:jc w:val="both"/>
      </w:pPr>
      <w:r>
        <w:t xml:space="preserve">Sigue sin </w:t>
      </w:r>
      <w:r w:rsidRPr="00CE3643">
        <w:t xml:space="preserve">incluirse en la ficha resumen de contratos </w:t>
      </w:r>
      <w:r>
        <w:t xml:space="preserve">los </w:t>
      </w:r>
      <w:r w:rsidRPr="00CE3643">
        <w:t>campo</w:t>
      </w:r>
      <w:r>
        <w:t>s</w:t>
      </w:r>
      <w:r w:rsidRPr="00CE3643">
        <w:t xml:space="preserve"> desistimientos o renuncias </w:t>
      </w:r>
      <w:r>
        <w:t xml:space="preserve">y modificaciones de contratos adjudicados. En el primer caso para evitar que los ciudadanos interesados en esta información </w:t>
      </w:r>
      <w:r w:rsidRPr="00CE3643">
        <w:t xml:space="preserve"> se vean obligados a efectuar una búsqueda en la Plataforma de Contratación del Sector Público. </w:t>
      </w:r>
      <w:r>
        <w:t xml:space="preserve">En el segundo, esta información no es obtenible directamente en la Plataforma de </w:t>
      </w:r>
      <w:r w:rsidR="007B67B8">
        <w:t>Contratación</w:t>
      </w:r>
      <w:r>
        <w:t xml:space="preserve"> del Sector Público, ya que no se contempla entre los criteri</w:t>
      </w:r>
      <w:r w:rsidR="007B67B8">
        <w:t>os del buscador de licitaciones. La única forma de acceder a esta información es entrando en cada una de las licitaciones lo que evidentemente constituye una considerable barrera al conocimiento de esta información muy relevante desde el punto de vista de la rendición de cuentas.</w:t>
      </w:r>
    </w:p>
    <w:p w:rsidR="00CE3643" w:rsidRDefault="007B67B8" w:rsidP="007B67B8">
      <w:pPr>
        <w:pStyle w:val="Prrafodelista"/>
        <w:numPr>
          <w:ilvl w:val="1"/>
          <w:numId w:val="17"/>
        </w:numPr>
        <w:jc w:val="both"/>
      </w:pPr>
      <w:r>
        <w:t xml:space="preserve">Siguen sin </w:t>
      </w:r>
      <w:r w:rsidRPr="007B67B8">
        <w:t>completarse las fichas-resumen relativas a encomiendas, incluyendo información sobre el presupuesto y la existencia de subcontrataciones</w:t>
      </w:r>
      <w:r>
        <w:t>.</w:t>
      </w:r>
    </w:p>
    <w:p w:rsidR="007B67B8" w:rsidRDefault="007B67B8" w:rsidP="007B67B8">
      <w:pPr>
        <w:pStyle w:val="Prrafodelista"/>
        <w:numPr>
          <w:ilvl w:val="1"/>
          <w:numId w:val="17"/>
        </w:numPr>
        <w:jc w:val="both"/>
      </w:pPr>
      <w:r>
        <w:t>La última información estadística sobre contratación publicada sigue correspondiendo a 2019.</w:t>
      </w:r>
    </w:p>
    <w:p w:rsidR="007B67B8" w:rsidRDefault="007B67B8" w:rsidP="007D42ED">
      <w:pPr>
        <w:pStyle w:val="Prrafodelista"/>
        <w:numPr>
          <w:ilvl w:val="1"/>
          <w:numId w:val="17"/>
        </w:numPr>
        <w:jc w:val="both"/>
      </w:pPr>
      <w:r>
        <w:t>Subsiste la necesidad de efectuar una revisión en profundidad</w:t>
      </w:r>
      <w:r w:rsidR="007D42ED">
        <w:t xml:space="preserve"> </w:t>
      </w:r>
      <w:r w:rsidR="007D42ED" w:rsidRPr="007D42ED">
        <w:t xml:space="preserve">de los contenidos actualmente publicados </w:t>
      </w:r>
      <w:r w:rsidR="00DC4DB9">
        <w:t>relativos a la obligación información estadística sobre cumplimiento y calidad de los servicios</w:t>
      </w:r>
      <w:r w:rsidR="007D42ED">
        <w:t xml:space="preserve">. Como se señaló en el informe de </w:t>
      </w:r>
      <w:r w:rsidR="007D42ED">
        <w:lastRenderedPageBreak/>
        <w:t>evaluación 2021, l</w:t>
      </w:r>
      <w:r w:rsidR="007D42ED" w:rsidRPr="007D42ED">
        <w:t>a información publicada debería estar referida al cumplimiento (en el sentido de rendimiento) de los servicios públicos y administrativos y prestaciones que gestiona cada Ministerio. Por ejemplo, tiempos de espera para acceder al servicio/prestación, tiempos de tramitación, volumen de actividad generada, etc. Y por otra parte, respecto de la calidad con que se prestan la información a publicar sería la relativa al cumplimiento de los compromisos contemplados en las cartas de servicios, resultados de los estudios de análisis de demanda y satisfacción de usuarios, quejas y sugerencias, autoevaluaciones conforme a modelos de excelencia, certificaciones de calidad obtenidas, etc. Es decir, resultados individualizados para cada Ministerio de los programas que integran el Marco General de Calidad de la AGE, información de la que disponen los distintos Ministerios.</w:t>
      </w:r>
    </w:p>
    <w:p w:rsidR="007D42ED" w:rsidRDefault="007D42ED" w:rsidP="007D42ED">
      <w:pPr>
        <w:pStyle w:val="Prrafodelista"/>
        <w:ind w:left="1440"/>
        <w:jc w:val="both"/>
      </w:pPr>
    </w:p>
    <w:p w:rsidR="00CE3643" w:rsidRDefault="007D42ED" w:rsidP="00C90E37">
      <w:pPr>
        <w:pStyle w:val="Prrafodelista"/>
        <w:numPr>
          <w:ilvl w:val="0"/>
          <w:numId w:val="17"/>
        </w:numPr>
        <w:jc w:val="both"/>
      </w:pPr>
      <w:r>
        <w:t xml:space="preserve">Respecto del Bloque de Información Patrimonial, es preciso revisar los enlaces a la información de todos los Ministerios ya que abren páginas sin información. Por otra parte, el fichero </w:t>
      </w:r>
      <w:proofErr w:type="spellStart"/>
      <w:r>
        <w:t>excel</w:t>
      </w:r>
      <w:proofErr w:type="spellEnd"/>
      <w:r>
        <w:t xml:space="preserve"> que permite descargar esta información no identifica el</w:t>
      </w:r>
      <w:r w:rsidR="00790E9A">
        <w:t xml:space="preserve"> </w:t>
      </w:r>
      <w:r>
        <w:t>Ministerio u organismo al que está adscrito el inmueble.</w:t>
      </w:r>
    </w:p>
    <w:p w:rsidR="00313A4B" w:rsidRDefault="00313A4B" w:rsidP="00313A4B">
      <w:pPr>
        <w:pStyle w:val="Prrafodelista"/>
        <w:jc w:val="both"/>
      </w:pPr>
    </w:p>
    <w:p w:rsidR="007D42ED" w:rsidRDefault="007D42ED" w:rsidP="007E6DE0">
      <w:pPr>
        <w:pStyle w:val="Prrafodelista"/>
        <w:spacing w:before="120" w:after="120" w:line="312" w:lineRule="auto"/>
        <w:jc w:val="both"/>
      </w:pPr>
    </w:p>
    <w:p w:rsidR="007D42ED" w:rsidRDefault="007D42ED" w:rsidP="007D42ED">
      <w:pPr>
        <w:pStyle w:val="Prrafodelista"/>
        <w:numPr>
          <w:ilvl w:val="0"/>
          <w:numId w:val="15"/>
        </w:numPr>
        <w:rPr>
          <w:b/>
          <w:color w:val="00642D"/>
        </w:rPr>
      </w:pPr>
      <w:r w:rsidRPr="007D42ED">
        <w:rPr>
          <w:b/>
          <w:color w:val="00642D"/>
        </w:rPr>
        <w:t>Respecto de la calidad de la información publicada</w:t>
      </w:r>
    </w:p>
    <w:p w:rsidR="007D42ED" w:rsidRPr="007D42ED" w:rsidRDefault="007D42ED" w:rsidP="007D42ED">
      <w:pPr>
        <w:pStyle w:val="Prrafodelista"/>
        <w:rPr>
          <w:b/>
          <w:color w:val="00642D"/>
        </w:rPr>
      </w:pPr>
    </w:p>
    <w:p w:rsidR="007D42ED" w:rsidRPr="00313A4B" w:rsidRDefault="007D42ED" w:rsidP="00313A4B">
      <w:pPr>
        <w:pStyle w:val="Prrafodelista"/>
        <w:numPr>
          <w:ilvl w:val="0"/>
          <w:numId w:val="20"/>
        </w:numPr>
        <w:rPr>
          <w:color w:val="000000"/>
          <w:szCs w:val="24"/>
        </w:rPr>
      </w:pPr>
      <w:r>
        <w:t xml:space="preserve">No se ha generalizado </w:t>
      </w:r>
      <w:r w:rsidRPr="00313A4B">
        <w:rPr>
          <w:color w:val="000000"/>
          <w:szCs w:val="24"/>
        </w:rPr>
        <w:t>la inclusión de referencias a la fecha en que se revisó o actualizó por última vez la información. Parte de la información sigue careciendo de referencias sobre la última fecha en que se revisó o bien, se ha constatado su desactualización.</w:t>
      </w:r>
    </w:p>
    <w:p w:rsidR="00741542" w:rsidRDefault="007D42ED" w:rsidP="00741542">
      <w:pPr>
        <w:pStyle w:val="Cuerpodelboletn"/>
        <w:numPr>
          <w:ilvl w:val="0"/>
          <w:numId w:val="20"/>
        </w:numPr>
        <w:spacing w:before="120" w:after="120" w:line="312" w:lineRule="auto"/>
      </w:pPr>
      <w:r w:rsidRPr="007D42ED">
        <w:t>Sigue recome</w:t>
      </w:r>
      <w:r>
        <w:t xml:space="preserve">ndándose que en aquellos casos en los que por diferentes </w:t>
      </w:r>
      <w:r w:rsidR="00741542">
        <w:t>circunstancias no hubiese información que publicar, se incluya una referencia expresa a las razones por las cuales no se publica información.</w:t>
      </w:r>
    </w:p>
    <w:p w:rsidR="00741542" w:rsidRDefault="00741542" w:rsidP="00741542">
      <w:pPr>
        <w:pStyle w:val="Cuerpodelboletn"/>
        <w:numPr>
          <w:ilvl w:val="0"/>
          <w:numId w:val="20"/>
        </w:numPr>
        <w:spacing w:before="120" w:after="120" w:line="312" w:lineRule="auto"/>
      </w:pPr>
      <w:r>
        <w:t xml:space="preserve">Sigue recomendándose que se valore </w:t>
      </w:r>
      <w:r w:rsidR="007E6DE0">
        <w:t xml:space="preserve">el recurso a fuentes centralizadas para la publicación de diversas informaciones del bloque Información Económica, Presupuestaria y Estadística. Este Consejo ha señalado las dificultades de manejo que estas fuentes tienen para los ciudadanos, porque no incluyen todos los datos establecidos por la LTAIBG relativos a las distintas informaciones obligatorias y porque, como ocurre con la BDNS, existen limitaciones en cuanto a la posibilidad de descarga de la información.  </w:t>
      </w:r>
    </w:p>
    <w:p w:rsidR="007E6DE0" w:rsidRPr="00A25678" w:rsidRDefault="00741542" w:rsidP="00741542">
      <w:pPr>
        <w:pStyle w:val="Cuerpodelboletn"/>
        <w:numPr>
          <w:ilvl w:val="0"/>
          <w:numId w:val="20"/>
        </w:numPr>
        <w:spacing w:before="120" w:after="120" w:line="312" w:lineRule="auto"/>
      </w:pPr>
      <w:r>
        <w:t>Sigue recomendándose que se valore</w:t>
      </w:r>
      <w:r w:rsidR="007E6DE0">
        <w:t xml:space="preserve"> la habilitación de la búsqueda </w:t>
      </w:r>
      <w:r w:rsidR="007E6DE0" w:rsidRPr="00A25678">
        <w:t xml:space="preserve">por Ministerio, </w:t>
      </w:r>
      <w:r w:rsidR="007E6DE0">
        <w:t>para la información sobre</w:t>
      </w:r>
      <w:r w:rsidR="007E6DE0" w:rsidRPr="00A25678">
        <w:t xml:space="preserve"> compatibilidades con actividades públicas y privadas de empleados públicos</w:t>
      </w:r>
      <w:r w:rsidR="007E6DE0">
        <w:t xml:space="preserve"> y la ampliación del número de registros que actualmente permite la descarga en formato Excel. </w:t>
      </w:r>
      <w:r w:rsidR="007E6DE0" w:rsidRPr="00A25678">
        <w:t xml:space="preserve"> </w:t>
      </w:r>
    </w:p>
    <w:p w:rsidR="007E6DE0" w:rsidRDefault="007E6DE0" w:rsidP="007E6DE0">
      <w:pPr>
        <w:jc w:val="both"/>
      </w:pPr>
    </w:p>
    <w:p w:rsidR="00313A4B" w:rsidRDefault="00313A4B" w:rsidP="007E6DE0">
      <w:pPr>
        <w:jc w:val="both"/>
      </w:pPr>
    </w:p>
    <w:p w:rsidR="007E23D3" w:rsidRDefault="00313A4B" w:rsidP="008D2063">
      <w:pPr>
        <w:jc w:val="both"/>
      </w:pPr>
      <w:r>
        <w:t>Madrid, marzo de 2022</w:t>
      </w:r>
    </w:p>
    <w:p w:rsidR="008113DF" w:rsidRPr="008113DF" w:rsidRDefault="000516AA" w:rsidP="00E36CE0">
      <w:pPr>
        <w:pStyle w:val="Ttulo4"/>
        <w:spacing w:before="120" w:after="120" w:line="312" w:lineRule="auto"/>
        <w:jc w:val="both"/>
        <w:rPr>
          <w:rFonts w:eastAsia="Times New Roman"/>
          <w:color w:val="000000"/>
          <w:lang w:eastAsia="en-US"/>
        </w:rPr>
      </w:pPr>
      <w:sdt>
        <w:sdtPr>
          <w:rPr>
            <w:rFonts w:ascii="Century Gothic" w:eastAsiaTheme="minorEastAsia" w:hAnsi="Century Gothic" w:cstheme="minorBidi"/>
            <w:bCs w:val="0"/>
            <w:i w:val="0"/>
            <w:iCs w:val="0"/>
            <w:color w:val="00642D"/>
            <w:sz w:val="32"/>
            <w:szCs w:val="24"/>
          </w:rPr>
          <w:id w:val="1557966967"/>
          <w:placeholder>
            <w:docPart w:val="F243B35847BA4AF28C84897BB745873E"/>
          </w:placeholder>
        </w:sdtPr>
        <w:sdtEndPr>
          <w:rPr>
            <w:rFonts w:asciiTheme="majorHAnsi" w:eastAsia="Times New Roman" w:hAnsiTheme="majorHAnsi" w:cstheme="majorBidi"/>
            <w:bCs/>
            <w:i/>
            <w:iCs/>
            <w:color w:val="4F81BD" w:themeColor="accent1"/>
            <w:sz w:val="22"/>
            <w:szCs w:val="22"/>
            <w:lang w:eastAsia="en-US"/>
          </w:rPr>
        </w:sdtEndPr>
        <w:sdtContent>
          <w:r w:rsidR="008113DF" w:rsidRPr="00851F88">
            <w:rPr>
              <w:rFonts w:ascii="Century Gothic" w:eastAsiaTheme="minorEastAsia" w:hAnsi="Century Gothic" w:cstheme="minorBidi"/>
              <w:bCs w:val="0"/>
              <w:i w:val="0"/>
              <w:iCs w:val="0"/>
              <w:color w:val="00642D"/>
              <w:sz w:val="32"/>
              <w:szCs w:val="24"/>
            </w:rPr>
            <w:t>Anexo: Criterios de medición de los atributos de la información</w:t>
          </w:r>
        </w:sdtContent>
      </w:sdt>
    </w:p>
    <w:tbl>
      <w:tblPr>
        <w:tblW w:w="5413" w:type="pct"/>
        <w:tblInd w:w="-497" w:type="dxa"/>
        <w:tblCellMar>
          <w:left w:w="70" w:type="dxa"/>
          <w:right w:w="70" w:type="dxa"/>
        </w:tblCellMar>
        <w:tblLook w:val="04A0" w:firstRow="1" w:lastRow="0" w:firstColumn="1" w:lastColumn="0" w:noHBand="0" w:noVBand="1"/>
      </w:tblPr>
      <w:tblGrid>
        <w:gridCol w:w="2279"/>
        <w:gridCol w:w="1521"/>
        <w:gridCol w:w="2799"/>
        <w:gridCol w:w="772"/>
        <w:gridCol w:w="4111"/>
      </w:tblGrid>
      <w:tr w:rsidR="008113DF" w:rsidRPr="008113DF" w:rsidTr="003A31C1">
        <w:trPr>
          <w:trHeight w:val="300"/>
        </w:trPr>
        <w:tc>
          <w:tcPr>
            <w:tcW w:w="992" w:type="pct"/>
            <w:tcBorders>
              <w:top w:val="single" w:sz="4" w:space="0" w:color="auto"/>
              <w:left w:val="single" w:sz="4" w:space="0" w:color="auto"/>
              <w:bottom w:val="single" w:sz="4" w:space="0" w:color="auto"/>
              <w:right w:val="single" w:sz="4" w:space="0" w:color="auto"/>
            </w:tcBorders>
            <w:shd w:val="clear" w:color="000000" w:fill="008A3E"/>
            <w:noWrap/>
            <w:vAlign w:val="bottom"/>
            <w:hideMark/>
          </w:tcPr>
          <w:p w:rsidR="008113DF" w:rsidRPr="008113DF" w:rsidRDefault="008113DF" w:rsidP="00E36CE0">
            <w:pPr>
              <w:spacing w:before="120" w:after="120" w:line="312" w:lineRule="auto"/>
              <w:jc w:val="both"/>
              <w:rPr>
                <w:rFonts w:eastAsia="Times New Roman" w:cs="Calibri"/>
                <w:b/>
                <w:bCs/>
                <w:color w:val="FFFFFF"/>
                <w:sz w:val="16"/>
                <w:szCs w:val="16"/>
              </w:rPr>
            </w:pPr>
            <w:r w:rsidRPr="008113DF">
              <w:rPr>
                <w:rFonts w:eastAsia="Times New Roman" w:cs="Calibri"/>
                <w:b/>
                <w:bCs/>
                <w:color w:val="FFFFFF"/>
                <w:sz w:val="16"/>
                <w:szCs w:val="16"/>
              </w:rPr>
              <w:t>PRINCIPIOS GENERALES</w:t>
            </w:r>
          </w:p>
        </w:tc>
        <w:tc>
          <w:tcPr>
            <w:tcW w:w="662" w:type="pct"/>
            <w:tcBorders>
              <w:top w:val="single" w:sz="4" w:space="0" w:color="auto"/>
              <w:left w:val="nil"/>
              <w:bottom w:val="single" w:sz="4" w:space="0" w:color="auto"/>
              <w:right w:val="single" w:sz="4" w:space="0" w:color="auto"/>
            </w:tcBorders>
            <w:shd w:val="clear" w:color="000000" w:fill="008A3E"/>
            <w:noWrap/>
            <w:vAlign w:val="bottom"/>
            <w:hideMark/>
          </w:tcPr>
          <w:p w:rsidR="008113DF" w:rsidRPr="008113DF" w:rsidRDefault="008113DF" w:rsidP="00E36CE0">
            <w:pPr>
              <w:spacing w:before="120" w:after="120" w:line="312" w:lineRule="auto"/>
              <w:jc w:val="both"/>
              <w:rPr>
                <w:rFonts w:eastAsia="Times New Roman" w:cs="Calibri"/>
                <w:b/>
                <w:bCs/>
                <w:color w:val="FFFFFF"/>
                <w:sz w:val="16"/>
                <w:szCs w:val="16"/>
              </w:rPr>
            </w:pPr>
            <w:r w:rsidRPr="008113DF">
              <w:rPr>
                <w:rFonts w:eastAsia="Times New Roman" w:cs="Calibri"/>
                <w:b/>
                <w:bCs/>
                <w:color w:val="FFFFFF"/>
                <w:sz w:val="16"/>
                <w:szCs w:val="16"/>
              </w:rPr>
              <w:t>CRITERIO</w:t>
            </w:r>
          </w:p>
        </w:tc>
        <w:tc>
          <w:tcPr>
            <w:tcW w:w="1219" w:type="pct"/>
            <w:tcBorders>
              <w:top w:val="single" w:sz="4" w:space="0" w:color="auto"/>
              <w:left w:val="nil"/>
              <w:bottom w:val="single" w:sz="4" w:space="0" w:color="auto"/>
              <w:right w:val="single" w:sz="4" w:space="0" w:color="auto"/>
            </w:tcBorders>
            <w:shd w:val="clear" w:color="000000" w:fill="008A3E"/>
            <w:noWrap/>
            <w:vAlign w:val="bottom"/>
            <w:hideMark/>
          </w:tcPr>
          <w:p w:rsidR="008113DF" w:rsidRPr="008113DF" w:rsidRDefault="008113DF" w:rsidP="00E36CE0">
            <w:pPr>
              <w:spacing w:before="120" w:after="120" w:line="312" w:lineRule="auto"/>
              <w:jc w:val="both"/>
              <w:rPr>
                <w:rFonts w:eastAsia="Times New Roman" w:cs="Calibri"/>
                <w:b/>
                <w:bCs/>
                <w:color w:val="FFFFFF"/>
                <w:sz w:val="16"/>
                <w:szCs w:val="16"/>
              </w:rPr>
            </w:pPr>
            <w:r w:rsidRPr="008113DF">
              <w:rPr>
                <w:rFonts w:eastAsia="Times New Roman" w:cs="Calibri"/>
                <w:b/>
                <w:bCs/>
                <w:color w:val="FFFFFF"/>
                <w:sz w:val="16"/>
                <w:szCs w:val="16"/>
              </w:rPr>
              <w:t>DESCRIPCION</w:t>
            </w:r>
          </w:p>
        </w:tc>
        <w:tc>
          <w:tcPr>
            <w:tcW w:w="336" w:type="pct"/>
            <w:tcBorders>
              <w:top w:val="single" w:sz="4" w:space="0" w:color="auto"/>
              <w:left w:val="nil"/>
              <w:bottom w:val="single" w:sz="4" w:space="0" w:color="auto"/>
              <w:right w:val="single" w:sz="4" w:space="0" w:color="auto"/>
            </w:tcBorders>
            <w:shd w:val="clear" w:color="000000" w:fill="008A3E"/>
            <w:noWrap/>
            <w:vAlign w:val="bottom"/>
            <w:hideMark/>
          </w:tcPr>
          <w:p w:rsidR="008113DF" w:rsidRPr="008113DF" w:rsidRDefault="008113DF" w:rsidP="00E36CE0">
            <w:pPr>
              <w:spacing w:before="120" w:after="120" w:line="312" w:lineRule="auto"/>
              <w:jc w:val="both"/>
              <w:rPr>
                <w:rFonts w:eastAsia="Times New Roman" w:cs="Calibri"/>
                <w:b/>
                <w:bCs/>
                <w:color w:val="FFFFFF"/>
                <w:sz w:val="16"/>
                <w:szCs w:val="16"/>
              </w:rPr>
            </w:pPr>
            <w:r w:rsidRPr="008113DF">
              <w:rPr>
                <w:rFonts w:eastAsia="Times New Roman" w:cs="Calibri"/>
                <w:b/>
                <w:bCs/>
                <w:color w:val="FFFFFF"/>
                <w:sz w:val="16"/>
                <w:szCs w:val="16"/>
              </w:rPr>
              <w:t>VALOR</w:t>
            </w:r>
          </w:p>
        </w:tc>
        <w:tc>
          <w:tcPr>
            <w:tcW w:w="1790" w:type="pct"/>
            <w:tcBorders>
              <w:top w:val="single" w:sz="4" w:space="0" w:color="auto"/>
              <w:left w:val="nil"/>
              <w:bottom w:val="single" w:sz="4" w:space="0" w:color="auto"/>
              <w:right w:val="single" w:sz="4" w:space="0" w:color="auto"/>
            </w:tcBorders>
            <w:shd w:val="clear" w:color="000000" w:fill="008A3E"/>
            <w:noWrap/>
            <w:vAlign w:val="bottom"/>
            <w:hideMark/>
          </w:tcPr>
          <w:p w:rsidR="008113DF" w:rsidRPr="008113DF" w:rsidRDefault="008113DF" w:rsidP="00E36CE0">
            <w:pPr>
              <w:spacing w:before="120" w:after="120" w:line="312" w:lineRule="auto"/>
              <w:jc w:val="both"/>
              <w:rPr>
                <w:rFonts w:eastAsia="Times New Roman" w:cs="Calibri"/>
                <w:b/>
                <w:bCs/>
                <w:color w:val="FFFFFF"/>
                <w:sz w:val="16"/>
                <w:szCs w:val="16"/>
              </w:rPr>
            </w:pPr>
            <w:r w:rsidRPr="008113DF">
              <w:rPr>
                <w:rFonts w:eastAsia="Times New Roman" w:cs="Calibri"/>
                <w:b/>
                <w:bCs/>
                <w:color w:val="FFFFFF"/>
                <w:sz w:val="16"/>
                <w:szCs w:val="16"/>
              </w:rPr>
              <w:t>SIGNIFICADO</w:t>
            </w:r>
          </w:p>
        </w:tc>
      </w:tr>
      <w:tr w:rsidR="008113DF" w:rsidRPr="008113DF" w:rsidTr="003A31C1">
        <w:trPr>
          <w:trHeight w:val="514"/>
        </w:trPr>
        <w:tc>
          <w:tcPr>
            <w:tcW w:w="9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PUBLICACIÓN</w:t>
            </w: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CONTENIDO</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Se obliga su publicación por la Ley19/21013</w:t>
            </w: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SI se publica el contenido de la obligación exigida</w:t>
            </w:r>
          </w:p>
        </w:tc>
      </w:tr>
      <w:tr w:rsidR="008113DF" w:rsidRPr="008113DF" w:rsidTr="003A31C1">
        <w:trPr>
          <w:trHeight w:val="323"/>
        </w:trPr>
        <w:tc>
          <w:tcPr>
            <w:tcW w:w="99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NO se publica el contenido de la obligación exigida</w:t>
            </w:r>
          </w:p>
        </w:tc>
      </w:tr>
      <w:tr w:rsidR="008113DF" w:rsidRPr="008113DF" w:rsidTr="003A31C1">
        <w:trPr>
          <w:trHeight w:val="427"/>
        </w:trPr>
        <w:tc>
          <w:tcPr>
            <w:tcW w:w="99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FORMA</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Modo de presentar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De forma DIRECTA en la misma web o con enlace directo a la información</w:t>
            </w:r>
          </w:p>
        </w:tc>
      </w:tr>
      <w:tr w:rsidR="008113DF" w:rsidRPr="008113DF" w:rsidTr="003A31C1">
        <w:trPr>
          <w:trHeight w:val="419"/>
        </w:trPr>
        <w:tc>
          <w:tcPr>
            <w:tcW w:w="99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De forma INDIRECTA pero sin dirigir a la información a la que se refiere</w:t>
            </w:r>
          </w:p>
        </w:tc>
      </w:tr>
      <w:tr w:rsidR="008113DF" w:rsidRPr="008113DF" w:rsidTr="003A31C1">
        <w:trPr>
          <w:trHeight w:val="411"/>
        </w:trPr>
        <w:tc>
          <w:tcPr>
            <w:tcW w:w="99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ACTUALIZACIÓN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Se identifica la fecha de datación de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Tiene FECHA y está dentro de los TRES meses previos a la fecha de consulta</w:t>
            </w:r>
          </w:p>
        </w:tc>
      </w:tr>
      <w:tr w:rsidR="008113DF" w:rsidRPr="008113DF" w:rsidTr="003A31C1">
        <w:trPr>
          <w:trHeight w:val="416"/>
        </w:trPr>
        <w:tc>
          <w:tcPr>
            <w:tcW w:w="99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Tiene FECHA</w:t>
            </w:r>
            <w:r w:rsidR="00E36CE0">
              <w:rPr>
                <w:rFonts w:eastAsia="Times New Roman" w:cs="Calibri"/>
                <w:color w:val="000000"/>
                <w:sz w:val="16"/>
                <w:szCs w:val="16"/>
              </w:rPr>
              <w:t xml:space="preserve"> </w:t>
            </w:r>
            <w:r w:rsidRPr="008113DF">
              <w:rPr>
                <w:rFonts w:eastAsia="Times New Roman" w:cs="Calibri"/>
                <w:color w:val="000000"/>
                <w:sz w:val="16"/>
                <w:szCs w:val="16"/>
              </w:rPr>
              <w:t>pero NO ESTA ACTUALIZADO dentro de los tres meses</w:t>
            </w:r>
          </w:p>
        </w:tc>
      </w:tr>
      <w:tr w:rsidR="008113DF" w:rsidRPr="008113DF" w:rsidTr="003A31C1">
        <w:trPr>
          <w:trHeight w:val="422"/>
        </w:trPr>
        <w:tc>
          <w:tcPr>
            <w:tcW w:w="99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NO SE CONOCE la fecha de publicación de la información</w:t>
            </w:r>
          </w:p>
        </w:tc>
      </w:tr>
      <w:tr w:rsidR="008113DF" w:rsidRPr="008113DF" w:rsidTr="003A31C1">
        <w:trPr>
          <w:trHeight w:val="300"/>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ATRIBUTOS</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ACCESIBILIDAD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Número de clics para acceder a la información desde la página principal de transparencia</w:t>
            </w: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3 clics como máximo</w:t>
            </w:r>
          </w:p>
        </w:tc>
      </w:tr>
      <w:tr w:rsidR="008113DF" w:rsidRPr="008113DF" w:rsidTr="003A31C1">
        <w:trPr>
          <w:trHeight w:val="171"/>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4</w:t>
            </w:r>
          </w:p>
        </w:tc>
      </w:tr>
      <w:tr w:rsidR="008113DF" w:rsidRPr="008113DF" w:rsidTr="003A31C1">
        <w:trPr>
          <w:trHeight w:val="245"/>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5</w:t>
            </w:r>
          </w:p>
        </w:tc>
      </w:tr>
      <w:tr w:rsidR="008113DF" w:rsidRPr="008113DF" w:rsidTr="003A31C1">
        <w:trPr>
          <w:trHeight w:val="263"/>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6</w:t>
            </w:r>
          </w:p>
        </w:tc>
      </w:tr>
      <w:tr w:rsidR="008113DF" w:rsidRPr="008113DF" w:rsidTr="003A31C1">
        <w:trPr>
          <w:trHeight w:val="281"/>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7</w:t>
            </w:r>
          </w:p>
        </w:tc>
      </w:tr>
      <w:tr w:rsidR="008113DF" w:rsidRPr="008113DF" w:rsidTr="003A31C1">
        <w:trPr>
          <w:trHeight w:val="271"/>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8</w:t>
            </w:r>
          </w:p>
        </w:tc>
      </w:tr>
      <w:tr w:rsidR="008113DF" w:rsidRPr="008113DF" w:rsidTr="003A31C1">
        <w:trPr>
          <w:trHeight w:val="133"/>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9</w:t>
            </w:r>
          </w:p>
        </w:tc>
      </w:tr>
      <w:tr w:rsidR="008113DF" w:rsidRPr="008113DF" w:rsidTr="003A31C1">
        <w:trPr>
          <w:trHeight w:val="207"/>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11</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12</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Más de 12 clics</w:t>
            </w:r>
          </w:p>
        </w:tc>
      </w:tr>
      <w:tr w:rsidR="008113DF" w:rsidRPr="008113DF" w:rsidTr="003A31C1">
        <w:trPr>
          <w:trHeight w:val="265"/>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CLARIDAD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Lenguaje fácil de entender por el público general. La información compleja se acompaña de comentarios, glosarios, textos introductorios o similares</w:t>
            </w: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MUY comprensible o con ayudas, en su caso</w:t>
            </w:r>
          </w:p>
        </w:tc>
      </w:tr>
      <w:tr w:rsidR="008113DF" w:rsidRPr="008113DF" w:rsidTr="003A31C1">
        <w:trPr>
          <w:trHeight w:val="271"/>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 </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Comprensible</w:t>
            </w:r>
          </w:p>
        </w:tc>
      </w:tr>
      <w:tr w:rsidR="008113DF" w:rsidRPr="008113DF" w:rsidTr="003A31C1">
        <w:trPr>
          <w:trHeight w:val="251"/>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 </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Normal</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 </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Poco comprensible</w:t>
            </w:r>
          </w:p>
        </w:tc>
      </w:tr>
      <w:tr w:rsidR="008113DF" w:rsidRPr="008113DF" w:rsidTr="003A31C1">
        <w:trPr>
          <w:trHeight w:val="183"/>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 </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Difícilmente comprensible</w:t>
            </w:r>
          </w:p>
        </w:tc>
      </w:tr>
      <w:tr w:rsidR="008113DF" w:rsidRPr="008113DF" w:rsidTr="003A31C1">
        <w:trPr>
          <w:trHeight w:val="247"/>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 </w:t>
            </w:r>
          </w:p>
        </w:tc>
      </w:tr>
      <w:tr w:rsidR="008113DF" w:rsidRPr="008113DF" w:rsidTr="003A31C1">
        <w:trPr>
          <w:trHeight w:val="123"/>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NADA comprensible</w:t>
            </w:r>
          </w:p>
        </w:tc>
      </w:tr>
      <w:tr w:rsidR="008113DF" w:rsidRPr="008113DF" w:rsidTr="003A31C1">
        <w:trPr>
          <w:trHeight w:val="57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val="restart"/>
            <w:tcBorders>
              <w:top w:val="nil"/>
              <w:left w:val="single" w:sz="4" w:space="0" w:color="auto"/>
              <w:bottom w:val="single" w:sz="4" w:space="0" w:color="000000"/>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ESTRUCTURACIÓN</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sz w:val="16"/>
                <w:szCs w:val="16"/>
              </w:rPr>
            </w:pPr>
            <w:r w:rsidRPr="008113DF">
              <w:rPr>
                <w:rFonts w:eastAsia="Times New Roman" w:cs="Calibri"/>
                <w:sz w:val="16"/>
                <w:szCs w:val="16"/>
              </w:rPr>
              <w:t>Información organizada siguiendo una lógica clara</w:t>
            </w: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sz w:val="16"/>
                <w:szCs w:val="16"/>
              </w:rPr>
            </w:pPr>
            <w:r w:rsidRPr="008113DF">
              <w:rPr>
                <w:rFonts w:eastAsia="Times New Roman" w:cs="Calibri"/>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sz w:val="16"/>
                <w:szCs w:val="16"/>
              </w:rPr>
            </w:pPr>
            <w:r w:rsidRPr="008113DF">
              <w:rPr>
                <w:rFonts w:eastAsia="Times New Roman" w:cs="Calibri"/>
                <w:sz w:val="16"/>
                <w:szCs w:val="16"/>
              </w:rPr>
              <w:t>la información se encuentra ordenada en grupos de materias, temáticas o de acuerdo con los bloques o grupos de información de la ley</w:t>
            </w:r>
          </w:p>
        </w:tc>
      </w:tr>
      <w:tr w:rsidR="008113DF" w:rsidRPr="008113DF" w:rsidTr="003A31C1">
        <w:trPr>
          <w:trHeight w:val="427"/>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sz w:val="16"/>
                <w:szCs w:val="16"/>
              </w:rPr>
            </w:pPr>
            <w:r w:rsidRPr="008113DF">
              <w:rPr>
                <w:rFonts w:eastAsia="Times New Roman" w:cs="Calibri"/>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sz w:val="16"/>
                <w:szCs w:val="16"/>
              </w:rPr>
            </w:pPr>
            <w:r w:rsidRPr="008113DF">
              <w:rPr>
                <w:rFonts w:eastAsia="Times New Roman" w:cs="Calibri"/>
                <w:sz w:val="16"/>
                <w:szCs w:val="16"/>
              </w:rPr>
              <w:t>la información se presenta dispersa sin agrupación ni ordenación alguna</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Reutilización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Formatos según Ley 37/2007</w:t>
            </w: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Es un formato reutilizable establecido</w:t>
            </w:r>
          </w:p>
        </w:tc>
      </w:tr>
      <w:tr w:rsidR="008113DF" w:rsidRPr="008113DF" w:rsidTr="003A31C1">
        <w:trPr>
          <w:trHeight w:val="3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NO es un formato reutilizable</w:t>
            </w:r>
          </w:p>
        </w:tc>
      </w:tr>
      <w:tr w:rsidR="008113DF" w:rsidRPr="008113DF" w:rsidTr="003A31C1">
        <w:trPr>
          <w:trHeight w:val="343"/>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WEB</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LUGAR PUBLICACION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Dónde quedan publicadas las obligaciones de publicidad activa</w:t>
            </w: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Apartado específico o banner en la página inicial del sitio</w:t>
            </w:r>
          </w:p>
        </w:tc>
      </w:tr>
      <w:tr w:rsidR="008113DF" w:rsidRPr="008113DF" w:rsidTr="003A31C1">
        <w:trPr>
          <w:trHeight w:val="362"/>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Apartado específico pero NO en la página de inicio</w:t>
            </w:r>
          </w:p>
        </w:tc>
      </w:tr>
      <w:tr w:rsidR="008113DF" w:rsidRPr="008113DF" w:rsidTr="003A31C1">
        <w:trPr>
          <w:trHeight w:val="600"/>
        </w:trPr>
        <w:tc>
          <w:tcPr>
            <w:tcW w:w="992" w:type="pct"/>
            <w:vMerge/>
            <w:tcBorders>
              <w:top w:val="nil"/>
              <w:left w:val="single" w:sz="4" w:space="0" w:color="auto"/>
              <w:bottom w:val="single" w:sz="4" w:space="0" w:color="000000"/>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8113DF" w:rsidRPr="008113DF" w:rsidRDefault="008113DF" w:rsidP="00E36CE0">
            <w:pPr>
              <w:spacing w:before="120" w:after="120" w:line="312" w:lineRule="auto"/>
              <w:jc w:val="both"/>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8113DF" w:rsidRPr="008113DF" w:rsidRDefault="008113DF" w:rsidP="00E36CE0">
            <w:pPr>
              <w:spacing w:before="120" w:after="120" w:line="312" w:lineRule="auto"/>
              <w:jc w:val="both"/>
              <w:rPr>
                <w:rFonts w:eastAsia="Times New Roman" w:cs="Calibri"/>
                <w:color w:val="000000"/>
                <w:sz w:val="16"/>
                <w:szCs w:val="16"/>
              </w:rPr>
            </w:pPr>
            <w:r w:rsidRPr="008113DF">
              <w:rPr>
                <w:rFonts w:eastAsia="Times New Roman" w:cs="Calibri"/>
                <w:color w:val="000000"/>
                <w:sz w:val="16"/>
                <w:szCs w:val="16"/>
              </w:rPr>
              <w:t>No existe un apartado específico de transparencia</w:t>
            </w:r>
          </w:p>
        </w:tc>
      </w:tr>
    </w:tbl>
    <w:p w:rsidR="00E86FA5" w:rsidRDefault="00E86FA5"/>
    <w:sectPr w:rsidR="00E86FA5" w:rsidSect="007E23D3">
      <w:headerReference w:type="even" r:id="rId12"/>
      <w:headerReference w:type="default" r:id="rId13"/>
      <w:footerReference w:type="even" r:id="rId14"/>
      <w:footerReference w:type="default" r:id="rId15"/>
      <w:headerReference w:type="first" r:id="rId16"/>
      <w:footerReference w:type="first" r:id="rId17"/>
      <w:pgSz w:w="11906" w:h="16838"/>
      <w:pgMar w:top="1560" w:right="720" w:bottom="127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63" w:rsidRDefault="008D2063" w:rsidP="00932008">
      <w:pPr>
        <w:spacing w:after="0" w:line="240" w:lineRule="auto"/>
      </w:pPr>
      <w:r>
        <w:separator/>
      </w:r>
    </w:p>
  </w:endnote>
  <w:endnote w:type="continuationSeparator" w:id="0">
    <w:p w:rsidR="008D2063" w:rsidRDefault="008D2063"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63" w:rsidRDefault="008D20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81989"/>
      <w:docPartObj>
        <w:docPartGallery w:val="Page Numbers (Bottom of Page)"/>
        <w:docPartUnique/>
      </w:docPartObj>
    </w:sdtPr>
    <w:sdtEndPr/>
    <w:sdtContent>
      <w:p w:rsidR="008D2063" w:rsidRDefault="008D2063">
        <w:pPr>
          <w:pStyle w:val="Piedepgina"/>
          <w:jc w:val="right"/>
        </w:pPr>
        <w:r>
          <w:fldChar w:fldCharType="begin"/>
        </w:r>
        <w:r>
          <w:instrText>PAGE   \* MERGEFORMAT</w:instrText>
        </w:r>
        <w:r>
          <w:fldChar w:fldCharType="separate"/>
        </w:r>
        <w:r w:rsidR="00C86579">
          <w:rPr>
            <w:noProof/>
          </w:rPr>
          <w:t>12</w:t>
        </w:r>
        <w:r>
          <w:fldChar w:fldCharType="end"/>
        </w:r>
      </w:p>
    </w:sdtContent>
  </w:sdt>
  <w:p w:rsidR="008D2063" w:rsidRDefault="008D20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63" w:rsidRDefault="008D20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63" w:rsidRDefault="008D2063" w:rsidP="00932008">
      <w:pPr>
        <w:spacing w:after="0" w:line="240" w:lineRule="auto"/>
      </w:pPr>
      <w:r>
        <w:separator/>
      </w:r>
    </w:p>
  </w:footnote>
  <w:footnote w:type="continuationSeparator" w:id="0">
    <w:p w:rsidR="008D2063" w:rsidRDefault="008D2063" w:rsidP="00932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63" w:rsidRDefault="008D20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63" w:rsidRDefault="008D20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63" w:rsidRDefault="008D20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BD14533_"/>
      </v:shape>
    </w:pict>
  </w:numPicBullet>
  <w:numPicBullet w:numPicBulletId="1">
    <w:pict>
      <v:shape id="_x0000_i1038" type="#_x0000_t75" style="width:11.25pt;height:11.25pt" o:bullet="t">
        <v:imagedata r:id="rId2" o:title="BD14654_"/>
      </v:shape>
    </w:pict>
  </w:numPicBullet>
  <w:numPicBullet w:numPicBulletId="2">
    <w:pict>
      <v:shape id="_x0000_i1039" type="#_x0000_t75" style="width:9pt;height:9pt" o:bullet="t">
        <v:imagedata r:id="rId3" o:title="BD14533_"/>
      </v:shape>
    </w:pict>
  </w:numPicBullet>
  <w:abstractNum w:abstractNumId="0">
    <w:nsid w:val="00654180"/>
    <w:multiLevelType w:val="hybridMultilevel"/>
    <w:tmpl w:val="F07C501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BF07E1"/>
    <w:multiLevelType w:val="hybridMultilevel"/>
    <w:tmpl w:val="D8CCB15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DF6D21"/>
    <w:multiLevelType w:val="hybridMultilevel"/>
    <w:tmpl w:val="7C7AF540"/>
    <w:lvl w:ilvl="0" w:tplc="FA7C346E">
      <w:start w:val="1"/>
      <w:numFmt w:val="bullet"/>
      <w:lvlText w:val=""/>
      <w:lvlPicBulletId w:val="1"/>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89055C8"/>
    <w:multiLevelType w:val="hybridMultilevel"/>
    <w:tmpl w:val="437A196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9F97EA4"/>
    <w:multiLevelType w:val="hybridMultilevel"/>
    <w:tmpl w:val="3C281A28"/>
    <w:lvl w:ilvl="0" w:tplc="25A69456">
      <w:start w:val="1"/>
      <w:numFmt w:val="bullet"/>
      <w:lvlText w:val=""/>
      <w:lvlPicBulletId w:val="1"/>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2D9851D2"/>
    <w:multiLevelType w:val="hybridMultilevel"/>
    <w:tmpl w:val="53566D06"/>
    <w:lvl w:ilvl="0" w:tplc="6A76A016">
      <w:start w:val="1"/>
      <w:numFmt w:val="bullet"/>
      <w:lvlText w:val=""/>
      <w:lvlJc w:val="left"/>
      <w:pPr>
        <w:ind w:left="720" w:hanging="360"/>
      </w:pPr>
      <w:rPr>
        <w:rFonts w:ascii="Wingdings" w:hAnsi="Wingdings" w:hint="default"/>
        <w:color w:val="17365D" w:themeColor="text2"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CC13DA"/>
    <w:multiLevelType w:val="hybridMultilevel"/>
    <w:tmpl w:val="7F36AAA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C0046F"/>
    <w:multiLevelType w:val="hybridMultilevel"/>
    <w:tmpl w:val="0BE0E9BC"/>
    <w:lvl w:ilvl="0" w:tplc="0C0A000F">
      <w:start w:val="1"/>
      <w:numFmt w:val="decimal"/>
      <w:lvlText w:val="%1."/>
      <w:lvlJc w:val="left"/>
      <w:pPr>
        <w:ind w:left="720" w:hanging="360"/>
      </w:pPr>
      <w:rPr>
        <w:rFonts w:hint="default"/>
        <w:color w:val="00800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AC7310"/>
    <w:multiLevelType w:val="hybridMultilevel"/>
    <w:tmpl w:val="07DCE4F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80D691E"/>
    <w:multiLevelType w:val="hybridMultilevel"/>
    <w:tmpl w:val="9466ACCE"/>
    <w:lvl w:ilvl="0" w:tplc="6FB86ABC">
      <w:start w:val="1"/>
      <w:numFmt w:val="decimal"/>
      <w:lvlText w:val="%1."/>
      <w:lvlJc w:val="left"/>
      <w:pPr>
        <w:ind w:left="720" w:hanging="360"/>
      </w:pPr>
      <w:rPr>
        <w:rFonts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582321"/>
    <w:multiLevelType w:val="hybridMultilevel"/>
    <w:tmpl w:val="B6067F36"/>
    <w:lvl w:ilvl="0" w:tplc="E49E3DF8">
      <w:start w:val="1"/>
      <w:numFmt w:val="bullet"/>
      <w:lvlText w:val="o"/>
      <w:lvlJc w:val="left"/>
      <w:pPr>
        <w:ind w:left="1080" w:hanging="360"/>
      </w:pPr>
      <w:rPr>
        <w:rFonts w:ascii="Courier New" w:hAnsi="Courier New" w:hint="default"/>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B693049"/>
    <w:multiLevelType w:val="hybridMultilevel"/>
    <w:tmpl w:val="D486C49C"/>
    <w:lvl w:ilvl="0" w:tplc="E49E3DF8">
      <w:start w:val="1"/>
      <w:numFmt w:val="bullet"/>
      <w:lvlText w:val="o"/>
      <w:lvlJc w:val="left"/>
      <w:pPr>
        <w:ind w:left="1068" w:hanging="360"/>
      </w:pPr>
      <w:rPr>
        <w:rFonts w:ascii="Courier New" w:hAnsi="Courier New" w:hint="default"/>
        <w:color w:val="auto"/>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52A84FD6"/>
    <w:multiLevelType w:val="hybridMultilevel"/>
    <w:tmpl w:val="332A255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B546865"/>
    <w:multiLevelType w:val="hybridMultilevel"/>
    <w:tmpl w:val="9122310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F557964"/>
    <w:multiLevelType w:val="hybridMultilevel"/>
    <w:tmpl w:val="88047CC4"/>
    <w:lvl w:ilvl="0" w:tplc="FCB8CED4">
      <w:start w:val="2"/>
      <w:numFmt w:val="upperRoman"/>
      <w:lvlText w:val="%1."/>
      <w:lvlJc w:val="right"/>
      <w:pPr>
        <w:ind w:left="720" w:hanging="360"/>
      </w:pPr>
      <w:rPr>
        <w:rFonts w:ascii="Century Gothic" w:hAnsi="Century Gothic" w:hint="default"/>
        <w:b/>
        <w:i w:val="0"/>
        <w:color w:val="00642D"/>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D7D24C5"/>
    <w:multiLevelType w:val="hybridMultilevel"/>
    <w:tmpl w:val="4540336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E70080E"/>
    <w:multiLevelType w:val="hybridMultilevel"/>
    <w:tmpl w:val="403243E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3B5254D"/>
    <w:multiLevelType w:val="hybridMultilevel"/>
    <w:tmpl w:val="5F223898"/>
    <w:lvl w:ilvl="0" w:tplc="FA7C346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C74134"/>
    <w:multiLevelType w:val="hybridMultilevel"/>
    <w:tmpl w:val="4C0A9B12"/>
    <w:lvl w:ilvl="0" w:tplc="E49E3DF8">
      <w:start w:val="1"/>
      <w:numFmt w:val="bullet"/>
      <w:lvlText w:val="o"/>
      <w:lvlJc w:val="left"/>
      <w:pPr>
        <w:ind w:left="1068" w:hanging="360"/>
      </w:pPr>
      <w:rPr>
        <w:rFonts w:ascii="Courier New" w:hAnsi="Courier New" w:hint="default"/>
        <w:color w:val="auto"/>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7CAD50D8"/>
    <w:multiLevelType w:val="hybridMultilevel"/>
    <w:tmpl w:val="82E2A3B0"/>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B058E4"/>
    <w:multiLevelType w:val="hybridMultilevel"/>
    <w:tmpl w:val="C21648A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11"/>
  </w:num>
  <w:num w:numId="5">
    <w:abstractNumId w:val="15"/>
  </w:num>
  <w:num w:numId="6">
    <w:abstractNumId w:val="8"/>
  </w:num>
  <w:num w:numId="7">
    <w:abstractNumId w:val="20"/>
  </w:num>
  <w:num w:numId="8">
    <w:abstractNumId w:val="12"/>
  </w:num>
  <w:num w:numId="9">
    <w:abstractNumId w:val="18"/>
  </w:num>
  <w:num w:numId="10">
    <w:abstractNumId w:val="6"/>
  </w:num>
  <w:num w:numId="11">
    <w:abstractNumId w:val="1"/>
  </w:num>
  <w:num w:numId="12">
    <w:abstractNumId w:val="3"/>
  </w:num>
  <w:num w:numId="13">
    <w:abstractNumId w:val="16"/>
  </w:num>
  <w:num w:numId="14">
    <w:abstractNumId w:val="7"/>
  </w:num>
  <w:num w:numId="15">
    <w:abstractNumId w:val="9"/>
  </w:num>
  <w:num w:numId="16">
    <w:abstractNumId w:val="2"/>
  </w:num>
  <w:num w:numId="17">
    <w:abstractNumId w:val="17"/>
  </w:num>
  <w:num w:numId="18">
    <w:abstractNumId w:val="4"/>
  </w:num>
  <w:num w:numId="19">
    <w:abstractNumId w:val="5"/>
  </w:num>
  <w:num w:numId="20">
    <w:abstractNumId w:val="19"/>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46"/>
    <w:rsid w:val="00000A44"/>
    <w:rsid w:val="00000DF7"/>
    <w:rsid w:val="0000138C"/>
    <w:rsid w:val="00001826"/>
    <w:rsid w:val="0001224A"/>
    <w:rsid w:val="00014CD8"/>
    <w:rsid w:val="000219CF"/>
    <w:rsid w:val="000242C1"/>
    <w:rsid w:val="000262A3"/>
    <w:rsid w:val="00026C5C"/>
    <w:rsid w:val="0003125B"/>
    <w:rsid w:val="00032E37"/>
    <w:rsid w:val="00037912"/>
    <w:rsid w:val="0004057A"/>
    <w:rsid w:val="000516AA"/>
    <w:rsid w:val="00053AC1"/>
    <w:rsid w:val="00060B06"/>
    <w:rsid w:val="00065B48"/>
    <w:rsid w:val="0007074D"/>
    <w:rsid w:val="00071029"/>
    <w:rsid w:val="00071E2A"/>
    <w:rsid w:val="00080BB4"/>
    <w:rsid w:val="000965B3"/>
    <w:rsid w:val="00096B7F"/>
    <w:rsid w:val="00097DFC"/>
    <w:rsid w:val="000A018C"/>
    <w:rsid w:val="000A0EF7"/>
    <w:rsid w:val="000B0A4B"/>
    <w:rsid w:val="000C09CB"/>
    <w:rsid w:val="000C19B7"/>
    <w:rsid w:val="000C5EDA"/>
    <w:rsid w:val="000C6CFF"/>
    <w:rsid w:val="000D05CF"/>
    <w:rsid w:val="000D15CA"/>
    <w:rsid w:val="000D4424"/>
    <w:rsid w:val="000E1E26"/>
    <w:rsid w:val="000F2ED8"/>
    <w:rsid w:val="00100888"/>
    <w:rsid w:val="00100DF1"/>
    <w:rsid w:val="00102733"/>
    <w:rsid w:val="001155E0"/>
    <w:rsid w:val="00115671"/>
    <w:rsid w:val="00123A0F"/>
    <w:rsid w:val="00127591"/>
    <w:rsid w:val="00127BF4"/>
    <w:rsid w:val="0013199E"/>
    <w:rsid w:val="00141C11"/>
    <w:rsid w:val="00142A56"/>
    <w:rsid w:val="00154586"/>
    <w:rsid w:val="001561A4"/>
    <w:rsid w:val="0015620C"/>
    <w:rsid w:val="00165978"/>
    <w:rsid w:val="00166B09"/>
    <w:rsid w:val="00174DFE"/>
    <w:rsid w:val="00181095"/>
    <w:rsid w:val="001871F9"/>
    <w:rsid w:val="00195BAD"/>
    <w:rsid w:val="0019652D"/>
    <w:rsid w:val="001A1931"/>
    <w:rsid w:val="001B2139"/>
    <w:rsid w:val="001B435E"/>
    <w:rsid w:val="001C1B76"/>
    <w:rsid w:val="001C698B"/>
    <w:rsid w:val="001C7B9B"/>
    <w:rsid w:val="001D4AFC"/>
    <w:rsid w:val="001E27E5"/>
    <w:rsid w:val="001E3F26"/>
    <w:rsid w:val="00200A8F"/>
    <w:rsid w:val="00202C80"/>
    <w:rsid w:val="002053A1"/>
    <w:rsid w:val="00205D26"/>
    <w:rsid w:val="00211331"/>
    <w:rsid w:val="00212576"/>
    <w:rsid w:val="00213A96"/>
    <w:rsid w:val="002150C6"/>
    <w:rsid w:val="0021649B"/>
    <w:rsid w:val="00231B0C"/>
    <w:rsid w:val="00232141"/>
    <w:rsid w:val="0023394F"/>
    <w:rsid w:val="00240499"/>
    <w:rsid w:val="00245800"/>
    <w:rsid w:val="00250D04"/>
    <w:rsid w:val="002550A4"/>
    <w:rsid w:val="00257837"/>
    <w:rsid w:val="0026401C"/>
    <w:rsid w:val="00265FBA"/>
    <w:rsid w:val="0026707C"/>
    <w:rsid w:val="00275F97"/>
    <w:rsid w:val="00277C17"/>
    <w:rsid w:val="002857D5"/>
    <w:rsid w:val="002911DB"/>
    <w:rsid w:val="002A154B"/>
    <w:rsid w:val="002A509A"/>
    <w:rsid w:val="002C4577"/>
    <w:rsid w:val="002D4F70"/>
    <w:rsid w:val="002D5886"/>
    <w:rsid w:val="002F5C0C"/>
    <w:rsid w:val="00300497"/>
    <w:rsid w:val="00301A4D"/>
    <w:rsid w:val="00310276"/>
    <w:rsid w:val="00311D98"/>
    <w:rsid w:val="00312B4E"/>
    <w:rsid w:val="00313A4B"/>
    <w:rsid w:val="003143BD"/>
    <w:rsid w:val="0031787A"/>
    <w:rsid w:val="003337EC"/>
    <w:rsid w:val="00334429"/>
    <w:rsid w:val="00350C6E"/>
    <w:rsid w:val="00353240"/>
    <w:rsid w:val="00355410"/>
    <w:rsid w:val="00355B5E"/>
    <w:rsid w:val="003569DA"/>
    <w:rsid w:val="0035719B"/>
    <w:rsid w:val="0037022B"/>
    <w:rsid w:val="00374EDA"/>
    <w:rsid w:val="003807C9"/>
    <w:rsid w:val="00392EFF"/>
    <w:rsid w:val="003934E4"/>
    <w:rsid w:val="003A31C1"/>
    <w:rsid w:val="003A3224"/>
    <w:rsid w:val="003A3C49"/>
    <w:rsid w:val="003B04E2"/>
    <w:rsid w:val="003B6785"/>
    <w:rsid w:val="003B7747"/>
    <w:rsid w:val="003C4AE2"/>
    <w:rsid w:val="003C6FC5"/>
    <w:rsid w:val="003D18A1"/>
    <w:rsid w:val="003D1F97"/>
    <w:rsid w:val="003D2A69"/>
    <w:rsid w:val="003D5B2B"/>
    <w:rsid w:val="003D7678"/>
    <w:rsid w:val="003E4364"/>
    <w:rsid w:val="003F147C"/>
    <w:rsid w:val="003F271E"/>
    <w:rsid w:val="003F572A"/>
    <w:rsid w:val="003F6B90"/>
    <w:rsid w:val="004042DE"/>
    <w:rsid w:val="004055CC"/>
    <w:rsid w:val="00407A75"/>
    <w:rsid w:val="004220FD"/>
    <w:rsid w:val="0043061D"/>
    <w:rsid w:val="004409B0"/>
    <w:rsid w:val="0046042D"/>
    <w:rsid w:val="00467BE6"/>
    <w:rsid w:val="00473F2C"/>
    <w:rsid w:val="004774AD"/>
    <w:rsid w:val="00493EAF"/>
    <w:rsid w:val="004A0488"/>
    <w:rsid w:val="004A0675"/>
    <w:rsid w:val="004C2601"/>
    <w:rsid w:val="004C628F"/>
    <w:rsid w:val="004C6F7B"/>
    <w:rsid w:val="004F0B33"/>
    <w:rsid w:val="004F2655"/>
    <w:rsid w:val="004F36BE"/>
    <w:rsid w:val="004F4624"/>
    <w:rsid w:val="004F711B"/>
    <w:rsid w:val="00520EBC"/>
    <w:rsid w:val="00534941"/>
    <w:rsid w:val="005365E8"/>
    <w:rsid w:val="00536AE8"/>
    <w:rsid w:val="00550651"/>
    <w:rsid w:val="00552AFF"/>
    <w:rsid w:val="005544C4"/>
    <w:rsid w:val="00561402"/>
    <w:rsid w:val="005629C8"/>
    <w:rsid w:val="00564700"/>
    <w:rsid w:val="0057532F"/>
    <w:rsid w:val="005804DF"/>
    <w:rsid w:val="00580DCF"/>
    <w:rsid w:val="005845A8"/>
    <w:rsid w:val="00590CDD"/>
    <w:rsid w:val="005A015D"/>
    <w:rsid w:val="005A4A35"/>
    <w:rsid w:val="005B2915"/>
    <w:rsid w:val="005C65C5"/>
    <w:rsid w:val="005C66B3"/>
    <w:rsid w:val="005E34E8"/>
    <w:rsid w:val="005E7BBC"/>
    <w:rsid w:val="005F32F2"/>
    <w:rsid w:val="00606A7E"/>
    <w:rsid w:val="00612275"/>
    <w:rsid w:val="006205ED"/>
    <w:rsid w:val="00620661"/>
    <w:rsid w:val="00620D49"/>
    <w:rsid w:val="006322DC"/>
    <w:rsid w:val="00633DEC"/>
    <w:rsid w:val="00644879"/>
    <w:rsid w:val="00646386"/>
    <w:rsid w:val="0066448D"/>
    <w:rsid w:val="00664FA8"/>
    <w:rsid w:val="00666FE3"/>
    <w:rsid w:val="00670945"/>
    <w:rsid w:val="00675C44"/>
    <w:rsid w:val="0068144B"/>
    <w:rsid w:val="0069104D"/>
    <w:rsid w:val="00691C6A"/>
    <w:rsid w:val="006A2766"/>
    <w:rsid w:val="006A5ECD"/>
    <w:rsid w:val="006A6513"/>
    <w:rsid w:val="006A66FD"/>
    <w:rsid w:val="006B7AAB"/>
    <w:rsid w:val="006C3338"/>
    <w:rsid w:val="006D4ED7"/>
    <w:rsid w:val="006D7B33"/>
    <w:rsid w:val="006E3175"/>
    <w:rsid w:val="006E7A9B"/>
    <w:rsid w:val="006F37CC"/>
    <w:rsid w:val="006F3D41"/>
    <w:rsid w:val="006F40E0"/>
    <w:rsid w:val="007065A6"/>
    <w:rsid w:val="00710031"/>
    <w:rsid w:val="0071307C"/>
    <w:rsid w:val="007138E8"/>
    <w:rsid w:val="007342A6"/>
    <w:rsid w:val="00741542"/>
    <w:rsid w:val="00743756"/>
    <w:rsid w:val="00746AF3"/>
    <w:rsid w:val="00752BD8"/>
    <w:rsid w:val="0076162E"/>
    <w:rsid w:val="00777FF4"/>
    <w:rsid w:val="0078031E"/>
    <w:rsid w:val="00790039"/>
    <w:rsid w:val="00790E9A"/>
    <w:rsid w:val="00793665"/>
    <w:rsid w:val="00794094"/>
    <w:rsid w:val="007B0F99"/>
    <w:rsid w:val="007B65C8"/>
    <w:rsid w:val="007B67B8"/>
    <w:rsid w:val="007C1B78"/>
    <w:rsid w:val="007C238C"/>
    <w:rsid w:val="007C43A3"/>
    <w:rsid w:val="007C5110"/>
    <w:rsid w:val="007D1352"/>
    <w:rsid w:val="007D42ED"/>
    <w:rsid w:val="007D6610"/>
    <w:rsid w:val="007E23D3"/>
    <w:rsid w:val="007E4B4F"/>
    <w:rsid w:val="007E4DCF"/>
    <w:rsid w:val="007E6DE0"/>
    <w:rsid w:val="007F409F"/>
    <w:rsid w:val="00800444"/>
    <w:rsid w:val="008113DF"/>
    <w:rsid w:val="00812F5C"/>
    <w:rsid w:val="00823F55"/>
    <w:rsid w:val="00824D1B"/>
    <w:rsid w:val="008265C4"/>
    <w:rsid w:val="00826A7E"/>
    <w:rsid w:val="008367D6"/>
    <w:rsid w:val="00836FFA"/>
    <w:rsid w:val="008378B5"/>
    <w:rsid w:val="008408A7"/>
    <w:rsid w:val="00840D07"/>
    <w:rsid w:val="00844FA9"/>
    <w:rsid w:val="00851F88"/>
    <w:rsid w:val="00852F76"/>
    <w:rsid w:val="008545AF"/>
    <w:rsid w:val="008550BB"/>
    <w:rsid w:val="00857A49"/>
    <w:rsid w:val="00864E33"/>
    <w:rsid w:val="00865ED1"/>
    <w:rsid w:val="00877898"/>
    <w:rsid w:val="0088391E"/>
    <w:rsid w:val="0089083A"/>
    <w:rsid w:val="008926B8"/>
    <w:rsid w:val="008941BB"/>
    <w:rsid w:val="008A1F54"/>
    <w:rsid w:val="008A5FE8"/>
    <w:rsid w:val="008A62BF"/>
    <w:rsid w:val="008B4625"/>
    <w:rsid w:val="008C1E1E"/>
    <w:rsid w:val="008D168F"/>
    <w:rsid w:val="008D2063"/>
    <w:rsid w:val="008D75EE"/>
    <w:rsid w:val="008E1D2C"/>
    <w:rsid w:val="008F0FEC"/>
    <w:rsid w:val="008F24B9"/>
    <w:rsid w:val="009017C5"/>
    <w:rsid w:val="009100B5"/>
    <w:rsid w:val="00926368"/>
    <w:rsid w:val="009304AD"/>
    <w:rsid w:val="00932008"/>
    <w:rsid w:val="0094538B"/>
    <w:rsid w:val="00947CDB"/>
    <w:rsid w:val="00957000"/>
    <w:rsid w:val="009609E9"/>
    <w:rsid w:val="00965DCA"/>
    <w:rsid w:val="00967387"/>
    <w:rsid w:val="0097258A"/>
    <w:rsid w:val="009729D0"/>
    <w:rsid w:val="00977DF9"/>
    <w:rsid w:val="009813A2"/>
    <w:rsid w:val="009A1280"/>
    <w:rsid w:val="009A20EF"/>
    <w:rsid w:val="009B62D8"/>
    <w:rsid w:val="009C27DB"/>
    <w:rsid w:val="009D4FF0"/>
    <w:rsid w:val="009D5B5F"/>
    <w:rsid w:val="00A1271D"/>
    <w:rsid w:val="00A3448A"/>
    <w:rsid w:val="00A464D3"/>
    <w:rsid w:val="00A50DEC"/>
    <w:rsid w:val="00A604D2"/>
    <w:rsid w:val="00A67899"/>
    <w:rsid w:val="00A91355"/>
    <w:rsid w:val="00A96846"/>
    <w:rsid w:val="00AB4DAF"/>
    <w:rsid w:val="00AB662F"/>
    <w:rsid w:val="00AB70CF"/>
    <w:rsid w:val="00AB7F8B"/>
    <w:rsid w:val="00AC3A3A"/>
    <w:rsid w:val="00AD2022"/>
    <w:rsid w:val="00AD333C"/>
    <w:rsid w:val="00AE293E"/>
    <w:rsid w:val="00AF0349"/>
    <w:rsid w:val="00AF075A"/>
    <w:rsid w:val="00AF456F"/>
    <w:rsid w:val="00B001B2"/>
    <w:rsid w:val="00B05DF9"/>
    <w:rsid w:val="00B11AE7"/>
    <w:rsid w:val="00B11CB0"/>
    <w:rsid w:val="00B13DCF"/>
    <w:rsid w:val="00B1640A"/>
    <w:rsid w:val="00B1646A"/>
    <w:rsid w:val="00B23114"/>
    <w:rsid w:val="00B275A9"/>
    <w:rsid w:val="00B27790"/>
    <w:rsid w:val="00B27D7E"/>
    <w:rsid w:val="00B30963"/>
    <w:rsid w:val="00B31FBD"/>
    <w:rsid w:val="00B3275A"/>
    <w:rsid w:val="00B366F9"/>
    <w:rsid w:val="00B40246"/>
    <w:rsid w:val="00B47239"/>
    <w:rsid w:val="00B50748"/>
    <w:rsid w:val="00B53A28"/>
    <w:rsid w:val="00B60F47"/>
    <w:rsid w:val="00B72003"/>
    <w:rsid w:val="00B76FA0"/>
    <w:rsid w:val="00B837CC"/>
    <w:rsid w:val="00B841AE"/>
    <w:rsid w:val="00B868EA"/>
    <w:rsid w:val="00B92CB7"/>
    <w:rsid w:val="00BA3856"/>
    <w:rsid w:val="00BA6E28"/>
    <w:rsid w:val="00BB05F1"/>
    <w:rsid w:val="00BB6799"/>
    <w:rsid w:val="00BC455E"/>
    <w:rsid w:val="00BD4582"/>
    <w:rsid w:val="00BD5DCE"/>
    <w:rsid w:val="00BD6FE1"/>
    <w:rsid w:val="00BE202C"/>
    <w:rsid w:val="00BE302C"/>
    <w:rsid w:val="00BE6A46"/>
    <w:rsid w:val="00BF14EB"/>
    <w:rsid w:val="00C119EC"/>
    <w:rsid w:val="00C124C4"/>
    <w:rsid w:val="00C23E82"/>
    <w:rsid w:val="00C2518E"/>
    <w:rsid w:val="00C33A23"/>
    <w:rsid w:val="00C356CF"/>
    <w:rsid w:val="00C36AA8"/>
    <w:rsid w:val="00C4420B"/>
    <w:rsid w:val="00C471E3"/>
    <w:rsid w:val="00C54606"/>
    <w:rsid w:val="00C55415"/>
    <w:rsid w:val="00C5744D"/>
    <w:rsid w:val="00C73BD1"/>
    <w:rsid w:val="00C8080A"/>
    <w:rsid w:val="00C833FA"/>
    <w:rsid w:val="00C83753"/>
    <w:rsid w:val="00C84D6D"/>
    <w:rsid w:val="00C85F6A"/>
    <w:rsid w:val="00C86579"/>
    <w:rsid w:val="00C9088F"/>
    <w:rsid w:val="00C90E37"/>
    <w:rsid w:val="00CA0DF1"/>
    <w:rsid w:val="00CA2ABD"/>
    <w:rsid w:val="00CA5918"/>
    <w:rsid w:val="00CA6A25"/>
    <w:rsid w:val="00CA6EF0"/>
    <w:rsid w:val="00CB5511"/>
    <w:rsid w:val="00CC2049"/>
    <w:rsid w:val="00CD234A"/>
    <w:rsid w:val="00CE2719"/>
    <w:rsid w:val="00CE3643"/>
    <w:rsid w:val="00CE3AC1"/>
    <w:rsid w:val="00CE3F98"/>
    <w:rsid w:val="00CE5095"/>
    <w:rsid w:val="00CF40E9"/>
    <w:rsid w:val="00D00C2C"/>
    <w:rsid w:val="00D0187D"/>
    <w:rsid w:val="00D12B2B"/>
    <w:rsid w:val="00D134CD"/>
    <w:rsid w:val="00D13E70"/>
    <w:rsid w:val="00D21495"/>
    <w:rsid w:val="00D21927"/>
    <w:rsid w:val="00D222AB"/>
    <w:rsid w:val="00D302EC"/>
    <w:rsid w:val="00D44852"/>
    <w:rsid w:val="00D50ADD"/>
    <w:rsid w:val="00D57A44"/>
    <w:rsid w:val="00D57C6B"/>
    <w:rsid w:val="00D67FA7"/>
    <w:rsid w:val="00D7382D"/>
    <w:rsid w:val="00D856ED"/>
    <w:rsid w:val="00D968C4"/>
    <w:rsid w:val="00D96F84"/>
    <w:rsid w:val="00DA2DC8"/>
    <w:rsid w:val="00DB29D9"/>
    <w:rsid w:val="00DB690B"/>
    <w:rsid w:val="00DC4DB9"/>
    <w:rsid w:val="00DC64E9"/>
    <w:rsid w:val="00DC7C80"/>
    <w:rsid w:val="00DD0BD0"/>
    <w:rsid w:val="00DD4FDF"/>
    <w:rsid w:val="00DF63E7"/>
    <w:rsid w:val="00DF6EB8"/>
    <w:rsid w:val="00E0221E"/>
    <w:rsid w:val="00E044A2"/>
    <w:rsid w:val="00E121B1"/>
    <w:rsid w:val="00E17920"/>
    <w:rsid w:val="00E22E07"/>
    <w:rsid w:val="00E2404C"/>
    <w:rsid w:val="00E2738C"/>
    <w:rsid w:val="00E27D24"/>
    <w:rsid w:val="00E3088D"/>
    <w:rsid w:val="00E34195"/>
    <w:rsid w:val="00E36CE0"/>
    <w:rsid w:val="00E47613"/>
    <w:rsid w:val="00E703E7"/>
    <w:rsid w:val="00E77484"/>
    <w:rsid w:val="00E825AF"/>
    <w:rsid w:val="00E86FA5"/>
    <w:rsid w:val="00EA1FFF"/>
    <w:rsid w:val="00EA2565"/>
    <w:rsid w:val="00EA3AFA"/>
    <w:rsid w:val="00EB58CE"/>
    <w:rsid w:val="00EC479B"/>
    <w:rsid w:val="00ED1214"/>
    <w:rsid w:val="00ED2A04"/>
    <w:rsid w:val="00ED5163"/>
    <w:rsid w:val="00EF4887"/>
    <w:rsid w:val="00F02BBE"/>
    <w:rsid w:val="00F07C9D"/>
    <w:rsid w:val="00F12373"/>
    <w:rsid w:val="00F1385D"/>
    <w:rsid w:val="00F14D36"/>
    <w:rsid w:val="00F14DA4"/>
    <w:rsid w:val="00F22019"/>
    <w:rsid w:val="00F35DC6"/>
    <w:rsid w:val="00F36416"/>
    <w:rsid w:val="00F37B3C"/>
    <w:rsid w:val="00F42B5A"/>
    <w:rsid w:val="00F47C3B"/>
    <w:rsid w:val="00F520B4"/>
    <w:rsid w:val="00F53C2F"/>
    <w:rsid w:val="00F54CB5"/>
    <w:rsid w:val="00F639F1"/>
    <w:rsid w:val="00F71D7D"/>
    <w:rsid w:val="00F76D17"/>
    <w:rsid w:val="00F8767F"/>
    <w:rsid w:val="00FA6E57"/>
    <w:rsid w:val="00FC2D0B"/>
    <w:rsid w:val="00FC3AAF"/>
    <w:rsid w:val="00FC3B4D"/>
    <w:rsid w:val="00FC4628"/>
    <w:rsid w:val="00FC68FD"/>
    <w:rsid w:val="00FD0A7A"/>
    <w:rsid w:val="00FE0FC5"/>
    <w:rsid w:val="00FE5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1E"/>
    <w:rPr>
      <w:rFonts w:ascii="Century Gothic" w:hAnsi="Century Gothic"/>
    </w:rPr>
  </w:style>
  <w:style w:type="paragraph" w:styleId="Ttulo1">
    <w:name w:val="heading 1"/>
    <w:basedOn w:val="Normal"/>
    <w:next w:val="Normal"/>
    <w:link w:val="Ttulo1Car"/>
    <w:uiPriority w:val="9"/>
    <w:qFormat/>
    <w:rsid w:val="00FC3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unhideWhenUsed/>
    <w:qFormat/>
    <w:rsid w:val="00FC3B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3A31C1"/>
    <w:pPr>
      <w:ind w:left="720"/>
      <w:contextualSpacing/>
    </w:pPr>
  </w:style>
  <w:style w:type="paragraph" w:customStyle="1" w:styleId="parrafo22">
    <w:name w:val="parrafo_22"/>
    <w:basedOn w:val="Normal"/>
    <w:rsid w:val="00213A96"/>
    <w:pPr>
      <w:spacing w:before="360" w:after="180" w:line="240" w:lineRule="atLeast"/>
      <w:ind w:firstLine="360"/>
      <w:jc w:val="both"/>
    </w:pPr>
    <w:rPr>
      <w:rFonts w:ascii="Times New Roman" w:eastAsia="Times New Roman" w:hAnsi="Times New Roman" w:cs="Times New Roman"/>
      <w:sz w:val="20"/>
      <w:szCs w:val="20"/>
    </w:rPr>
  </w:style>
  <w:style w:type="paragraph" w:customStyle="1" w:styleId="Default">
    <w:name w:val="Default"/>
    <w:rsid w:val="00864E3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64E33"/>
    <w:pPr>
      <w:spacing w:after="150" w:line="240" w:lineRule="auto"/>
      <w:jc w:val="both"/>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FC3B4D"/>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rsid w:val="00FC3B4D"/>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FC3B4D"/>
    <w:rPr>
      <w:color w:val="0000FF" w:themeColor="hyperlink"/>
      <w:u w:val="single"/>
    </w:rPr>
  </w:style>
  <w:style w:type="character" w:styleId="Refdecomentario">
    <w:name w:val="annotation reference"/>
    <w:basedOn w:val="Fuentedeprrafopredeter"/>
    <w:uiPriority w:val="99"/>
    <w:semiHidden/>
    <w:unhideWhenUsed/>
    <w:rsid w:val="006C3338"/>
    <w:rPr>
      <w:sz w:val="16"/>
      <w:szCs w:val="16"/>
    </w:rPr>
  </w:style>
  <w:style w:type="paragraph" w:styleId="Textocomentario">
    <w:name w:val="annotation text"/>
    <w:basedOn w:val="Normal"/>
    <w:link w:val="TextocomentarioCar"/>
    <w:uiPriority w:val="99"/>
    <w:semiHidden/>
    <w:unhideWhenUsed/>
    <w:rsid w:val="006C33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333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6C3338"/>
    <w:rPr>
      <w:b/>
      <w:bCs/>
    </w:rPr>
  </w:style>
  <w:style w:type="character" w:customStyle="1" w:styleId="AsuntodelcomentarioCar">
    <w:name w:val="Asunto del comentario Car"/>
    <w:basedOn w:val="TextocomentarioCar"/>
    <w:link w:val="Asuntodelcomentario"/>
    <w:uiPriority w:val="99"/>
    <w:semiHidden/>
    <w:rsid w:val="006C3338"/>
    <w:rPr>
      <w:rFonts w:ascii="Century Gothic" w:hAnsi="Century Gothic"/>
      <w:b/>
      <w:bCs/>
      <w:sz w:val="20"/>
      <w:szCs w:val="20"/>
    </w:rPr>
  </w:style>
  <w:style w:type="paragraph" w:customStyle="1" w:styleId="parrafo">
    <w:name w:val="parrafo"/>
    <w:basedOn w:val="Normal"/>
    <w:rsid w:val="00350C6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ombreadomedio2-nfasis31">
    <w:name w:val="Sombreado medio 2 - Énfasis 31"/>
    <w:basedOn w:val="Tablanormal"/>
    <w:next w:val="Sombreadomedio2-nfasis3"/>
    <w:uiPriority w:val="64"/>
    <w:rsid w:val="00C356CF"/>
    <w:pPr>
      <w:spacing w:after="0" w:line="240" w:lineRule="auto"/>
    </w:pPr>
    <w:rPr>
      <w:rFonts w:eastAsia="Times New Roman"/>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1E"/>
    <w:rPr>
      <w:rFonts w:ascii="Century Gothic" w:hAnsi="Century Gothic"/>
    </w:rPr>
  </w:style>
  <w:style w:type="paragraph" w:styleId="Ttulo1">
    <w:name w:val="heading 1"/>
    <w:basedOn w:val="Normal"/>
    <w:next w:val="Normal"/>
    <w:link w:val="Ttulo1Car"/>
    <w:uiPriority w:val="9"/>
    <w:qFormat/>
    <w:rsid w:val="00FC3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paragraph" w:styleId="Ttulo4">
    <w:name w:val="heading 4"/>
    <w:basedOn w:val="Normal"/>
    <w:next w:val="Normal"/>
    <w:link w:val="Ttulo4Car"/>
    <w:uiPriority w:val="9"/>
    <w:unhideWhenUsed/>
    <w:qFormat/>
    <w:rsid w:val="00FC3B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3A31C1"/>
    <w:pPr>
      <w:ind w:left="720"/>
      <w:contextualSpacing/>
    </w:pPr>
  </w:style>
  <w:style w:type="paragraph" w:customStyle="1" w:styleId="parrafo22">
    <w:name w:val="parrafo_22"/>
    <w:basedOn w:val="Normal"/>
    <w:rsid w:val="00213A96"/>
    <w:pPr>
      <w:spacing w:before="360" w:after="180" w:line="240" w:lineRule="atLeast"/>
      <w:ind w:firstLine="360"/>
      <w:jc w:val="both"/>
    </w:pPr>
    <w:rPr>
      <w:rFonts w:ascii="Times New Roman" w:eastAsia="Times New Roman" w:hAnsi="Times New Roman" w:cs="Times New Roman"/>
      <w:sz w:val="20"/>
      <w:szCs w:val="20"/>
    </w:rPr>
  </w:style>
  <w:style w:type="paragraph" w:customStyle="1" w:styleId="Default">
    <w:name w:val="Default"/>
    <w:rsid w:val="00864E3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64E33"/>
    <w:pPr>
      <w:spacing w:after="150" w:line="240" w:lineRule="auto"/>
      <w:jc w:val="both"/>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FC3B4D"/>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rsid w:val="00FC3B4D"/>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FC3B4D"/>
    <w:rPr>
      <w:color w:val="0000FF" w:themeColor="hyperlink"/>
      <w:u w:val="single"/>
    </w:rPr>
  </w:style>
  <w:style w:type="character" w:styleId="Refdecomentario">
    <w:name w:val="annotation reference"/>
    <w:basedOn w:val="Fuentedeprrafopredeter"/>
    <w:uiPriority w:val="99"/>
    <w:semiHidden/>
    <w:unhideWhenUsed/>
    <w:rsid w:val="006C3338"/>
    <w:rPr>
      <w:sz w:val="16"/>
      <w:szCs w:val="16"/>
    </w:rPr>
  </w:style>
  <w:style w:type="paragraph" w:styleId="Textocomentario">
    <w:name w:val="annotation text"/>
    <w:basedOn w:val="Normal"/>
    <w:link w:val="TextocomentarioCar"/>
    <w:uiPriority w:val="99"/>
    <w:semiHidden/>
    <w:unhideWhenUsed/>
    <w:rsid w:val="006C33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333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6C3338"/>
    <w:rPr>
      <w:b/>
      <w:bCs/>
    </w:rPr>
  </w:style>
  <w:style w:type="character" w:customStyle="1" w:styleId="AsuntodelcomentarioCar">
    <w:name w:val="Asunto del comentario Car"/>
    <w:basedOn w:val="TextocomentarioCar"/>
    <w:link w:val="Asuntodelcomentario"/>
    <w:uiPriority w:val="99"/>
    <w:semiHidden/>
    <w:rsid w:val="006C3338"/>
    <w:rPr>
      <w:rFonts w:ascii="Century Gothic" w:hAnsi="Century Gothic"/>
      <w:b/>
      <w:bCs/>
      <w:sz w:val="20"/>
      <w:szCs w:val="20"/>
    </w:rPr>
  </w:style>
  <w:style w:type="paragraph" w:customStyle="1" w:styleId="parrafo">
    <w:name w:val="parrafo"/>
    <w:basedOn w:val="Normal"/>
    <w:rsid w:val="00350C6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ombreadomedio2-nfasis31">
    <w:name w:val="Sombreado medio 2 - Énfasis 31"/>
    <w:basedOn w:val="Tablanormal"/>
    <w:next w:val="Sombreadomedio2-nfasis3"/>
    <w:uiPriority w:val="64"/>
    <w:rsid w:val="00C356CF"/>
    <w:pPr>
      <w:spacing w:after="0" w:line="240" w:lineRule="auto"/>
    </w:pPr>
    <w:rPr>
      <w:rFonts w:eastAsia="Times New Roman"/>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24052">
      <w:bodyDiv w:val="1"/>
      <w:marLeft w:val="0"/>
      <w:marRight w:val="0"/>
      <w:marTop w:val="0"/>
      <w:marBottom w:val="0"/>
      <w:divBdr>
        <w:top w:val="none" w:sz="0" w:space="0" w:color="auto"/>
        <w:left w:val="none" w:sz="0" w:space="0" w:color="auto"/>
        <w:bottom w:val="none" w:sz="0" w:space="0" w:color="auto"/>
        <w:right w:val="none" w:sz="0" w:space="0" w:color="auto"/>
      </w:divBdr>
    </w:div>
    <w:div w:id="657463580">
      <w:bodyDiv w:val="1"/>
      <w:marLeft w:val="0"/>
      <w:marRight w:val="0"/>
      <w:marTop w:val="0"/>
      <w:marBottom w:val="0"/>
      <w:divBdr>
        <w:top w:val="none" w:sz="0" w:space="0" w:color="auto"/>
        <w:left w:val="none" w:sz="0" w:space="0" w:color="auto"/>
        <w:bottom w:val="none" w:sz="0" w:space="0" w:color="auto"/>
        <w:right w:val="none" w:sz="0" w:space="0" w:color="auto"/>
      </w:divBdr>
    </w:div>
    <w:div w:id="21455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0.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43B35847BA4AF28C84897BB745873E"/>
        <w:category>
          <w:name w:val="General"/>
          <w:gallery w:val="placeholder"/>
        </w:category>
        <w:types>
          <w:type w:val="bbPlcHdr"/>
        </w:types>
        <w:behaviors>
          <w:behavior w:val="content"/>
        </w:behaviors>
        <w:guid w:val="{2A955F53-3A58-42AD-847E-39C9AD8A3EEF}"/>
      </w:docPartPr>
      <w:docPartBody>
        <w:p w:rsidR="007C7CB0" w:rsidRDefault="00F12264" w:rsidP="00F12264">
          <w:pPr>
            <w:pStyle w:val="F243B35847BA4AF28C84897BB745873E"/>
          </w:pPr>
          <w:r w:rsidRPr="00C12127">
            <w:rPr>
              <w:rStyle w:val="Textodelmarcadordeposicin"/>
              <w:lang w:bidi="es-ES"/>
            </w:rPr>
            <w:t>Haz clic aquí para escribir texto.</w:t>
          </w:r>
        </w:p>
      </w:docPartBody>
    </w:docPart>
    <w:docPart>
      <w:docPartPr>
        <w:name w:val="1B1C39C65E7642489A24DCE1C769E9D8"/>
        <w:category>
          <w:name w:val="General"/>
          <w:gallery w:val="placeholder"/>
        </w:category>
        <w:types>
          <w:type w:val="bbPlcHdr"/>
        </w:types>
        <w:behaviors>
          <w:behavior w:val="content"/>
        </w:behaviors>
        <w:guid w:val="{914C4390-84E1-4D93-A832-55ACD460D110}"/>
      </w:docPartPr>
      <w:docPartBody>
        <w:p w:rsidR="00073531" w:rsidRDefault="00073531" w:rsidP="00073531">
          <w:pPr>
            <w:pStyle w:val="1B1C39C65E7642489A24DCE1C769E9D8"/>
          </w:pPr>
          <w:r w:rsidRPr="00C12127">
            <w:rPr>
              <w:rStyle w:val="Textodelmarcadordeposicin"/>
              <w:lang w:bidi="es-ES"/>
            </w:rPr>
            <w:t>Haz clic aquí para escribir texto.</w:t>
          </w:r>
        </w:p>
      </w:docPartBody>
    </w:docPart>
    <w:docPart>
      <w:docPartPr>
        <w:name w:val="CA9810F8EC9348E98F8B0A857AC4B9BC"/>
        <w:category>
          <w:name w:val="General"/>
          <w:gallery w:val="placeholder"/>
        </w:category>
        <w:types>
          <w:type w:val="bbPlcHdr"/>
        </w:types>
        <w:behaviors>
          <w:behavior w:val="content"/>
        </w:behaviors>
        <w:guid w:val="{8C7441DA-3152-4EBB-96A8-56866F49820E}"/>
      </w:docPartPr>
      <w:docPartBody>
        <w:p w:rsidR="00BB0218" w:rsidRDefault="00AA642D" w:rsidP="00AA642D">
          <w:pPr>
            <w:pStyle w:val="CA9810F8EC9348E98F8B0A857AC4B9BC"/>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3"/>
    <w:rsid w:val="00073531"/>
    <w:rsid w:val="0013771E"/>
    <w:rsid w:val="00163DCD"/>
    <w:rsid w:val="001C72AF"/>
    <w:rsid w:val="002303E2"/>
    <w:rsid w:val="002E6925"/>
    <w:rsid w:val="00350183"/>
    <w:rsid w:val="00384CBA"/>
    <w:rsid w:val="0039182D"/>
    <w:rsid w:val="003B5914"/>
    <w:rsid w:val="003D088C"/>
    <w:rsid w:val="0044760D"/>
    <w:rsid w:val="004B5F16"/>
    <w:rsid w:val="00515460"/>
    <w:rsid w:val="00565DEE"/>
    <w:rsid w:val="0058684D"/>
    <w:rsid w:val="00595F90"/>
    <w:rsid w:val="006A1348"/>
    <w:rsid w:val="00776213"/>
    <w:rsid w:val="007C7CB0"/>
    <w:rsid w:val="00923DF8"/>
    <w:rsid w:val="00961E48"/>
    <w:rsid w:val="009C75DB"/>
    <w:rsid w:val="009D60DF"/>
    <w:rsid w:val="00AA642D"/>
    <w:rsid w:val="00AE5372"/>
    <w:rsid w:val="00BB0218"/>
    <w:rsid w:val="00C057F2"/>
    <w:rsid w:val="00D35513"/>
    <w:rsid w:val="00D7684B"/>
    <w:rsid w:val="00E57015"/>
    <w:rsid w:val="00F0686F"/>
    <w:rsid w:val="00F12264"/>
    <w:rsid w:val="00F55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0218"/>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F243B35847BA4AF28C84897BB745873E">
    <w:name w:val="F243B35847BA4AF28C84897BB745873E"/>
    <w:rsid w:val="00F12264"/>
  </w:style>
  <w:style w:type="paragraph" w:customStyle="1" w:styleId="AFD3F83F7DDA48DC921F2B98CD5C935F">
    <w:name w:val="AFD3F83F7DDA48DC921F2B98CD5C935F"/>
    <w:rsid w:val="00515460"/>
  </w:style>
  <w:style w:type="paragraph" w:customStyle="1" w:styleId="60CE23A555FA41038372EFA989F7751E">
    <w:name w:val="60CE23A555FA41038372EFA989F7751E"/>
    <w:rsid w:val="00073531"/>
  </w:style>
  <w:style w:type="paragraph" w:customStyle="1" w:styleId="A13031EAAE534906830CA980D7DF86F1">
    <w:name w:val="A13031EAAE534906830CA980D7DF86F1"/>
    <w:rsid w:val="00073531"/>
  </w:style>
  <w:style w:type="paragraph" w:customStyle="1" w:styleId="A49EAB9AB33C45A08517C7CDDCD07B88">
    <w:name w:val="A49EAB9AB33C45A08517C7CDDCD07B88"/>
    <w:rsid w:val="00073531"/>
  </w:style>
  <w:style w:type="paragraph" w:customStyle="1" w:styleId="1B1C39C65E7642489A24DCE1C769E9D8">
    <w:name w:val="1B1C39C65E7642489A24DCE1C769E9D8"/>
    <w:rsid w:val="00073531"/>
  </w:style>
  <w:style w:type="paragraph" w:customStyle="1" w:styleId="CA9810F8EC9348E98F8B0A857AC4B9BC">
    <w:name w:val="CA9810F8EC9348E98F8B0A857AC4B9BC"/>
    <w:rsid w:val="00AA642D"/>
  </w:style>
  <w:style w:type="paragraph" w:customStyle="1" w:styleId="F88FE46090A24463ABF5E2575BFF7980">
    <w:name w:val="F88FE46090A24463ABF5E2575BFF7980"/>
    <w:rsid w:val="00AA642D"/>
  </w:style>
  <w:style w:type="paragraph" w:customStyle="1" w:styleId="015A138AAB394E0F9D55378B4D2BAE10">
    <w:name w:val="015A138AAB394E0F9D55378B4D2BAE10"/>
    <w:rsid w:val="00BB0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0218"/>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F243B35847BA4AF28C84897BB745873E">
    <w:name w:val="F243B35847BA4AF28C84897BB745873E"/>
    <w:rsid w:val="00F12264"/>
  </w:style>
  <w:style w:type="paragraph" w:customStyle="1" w:styleId="AFD3F83F7DDA48DC921F2B98CD5C935F">
    <w:name w:val="AFD3F83F7DDA48DC921F2B98CD5C935F"/>
    <w:rsid w:val="00515460"/>
  </w:style>
  <w:style w:type="paragraph" w:customStyle="1" w:styleId="60CE23A555FA41038372EFA989F7751E">
    <w:name w:val="60CE23A555FA41038372EFA989F7751E"/>
    <w:rsid w:val="00073531"/>
  </w:style>
  <w:style w:type="paragraph" w:customStyle="1" w:styleId="A13031EAAE534906830CA980D7DF86F1">
    <w:name w:val="A13031EAAE534906830CA980D7DF86F1"/>
    <w:rsid w:val="00073531"/>
  </w:style>
  <w:style w:type="paragraph" w:customStyle="1" w:styleId="A49EAB9AB33C45A08517C7CDDCD07B88">
    <w:name w:val="A49EAB9AB33C45A08517C7CDDCD07B88"/>
    <w:rsid w:val="00073531"/>
  </w:style>
  <w:style w:type="paragraph" w:customStyle="1" w:styleId="1B1C39C65E7642489A24DCE1C769E9D8">
    <w:name w:val="1B1C39C65E7642489A24DCE1C769E9D8"/>
    <w:rsid w:val="00073531"/>
  </w:style>
  <w:style w:type="paragraph" w:customStyle="1" w:styleId="CA9810F8EC9348E98F8B0A857AC4B9BC">
    <w:name w:val="CA9810F8EC9348E98F8B0A857AC4B9BC"/>
    <w:rsid w:val="00AA642D"/>
  </w:style>
  <w:style w:type="paragraph" w:customStyle="1" w:styleId="F88FE46090A24463ABF5E2575BFF7980">
    <w:name w:val="F88FE46090A24463ABF5E2575BFF7980"/>
    <w:rsid w:val="00AA642D"/>
  </w:style>
  <w:style w:type="paragraph" w:customStyle="1" w:styleId="015A138AAB394E0F9D55378B4D2BAE10">
    <w:name w:val="015A138AAB394E0F9D55378B4D2BAE10"/>
    <w:rsid w:val="00BB0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39A88D23-F7C6-44A3-80A0-CEB4B3F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TotalTime>
  <Pages>12</Pages>
  <Words>3887</Words>
  <Characters>21384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cp:lastPrinted>2021-07-13T10:36:00Z</cp:lastPrinted>
  <dcterms:created xsi:type="dcterms:W3CDTF">2022-04-28T08:49:00Z</dcterms:created>
  <dcterms:modified xsi:type="dcterms:W3CDTF">2022-04-28T08:49:00Z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